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AD469">
      <w:pPr>
        <w:spacing w:after="156" w:afterLines="50" w:line="360" w:lineRule="auto"/>
        <w:jc w:val="center"/>
        <w:rPr>
          <w:rFonts w:eastAsia="仿宋"/>
          <w:b/>
          <w:sz w:val="32"/>
          <w:szCs w:val="32"/>
        </w:rPr>
      </w:pPr>
    </w:p>
    <w:p w14:paraId="5ED3AF43">
      <w:pPr>
        <w:spacing w:after="156" w:afterLines="50" w:line="360" w:lineRule="auto"/>
        <w:jc w:val="center"/>
        <w:rPr>
          <w:rFonts w:eastAsia="仿宋"/>
          <w:b/>
          <w:sz w:val="32"/>
          <w:szCs w:val="32"/>
        </w:rPr>
      </w:pPr>
    </w:p>
    <w:p w14:paraId="79F7857D">
      <w:pPr>
        <w:pStyle w:val="7"/>
        <w:framePr w:w="0" w:hRule="auto" w:wrap="auto" w:vAnchor="margin" w:hAnchor="text" w:xAlign="left" w:yAlign="inline"/>
        <w:rPr>
          <w:rFonts w:ascii="Times New Roman" w:hAnsi="Times New Roman" w:eastAsia="仿宋"/>
          <w:sz w:val="44"/>
          <w:szCs w:val="44"/>
        </w:rPr>
      </w:pPr>
      <w:r>
        <w:rPr>
          <w:rFonts w:ascii="Times New Roman" w:hAnsi="Times New Roman" w:eastAsia="仿宋"/>
          <w:sz w:val="44"/>
          <w:szCs w:val="44"/>
        </w:rPr>
        <w:t>江苏省地方标准</w:t>
      </w:r>
    </w:p>
    <w:p w14:paraId="27C8F8AF">
      <w:pPr>
        <w:pStyle w:val="7"/>
        <w:framePr w:w="0" w:hRule="auto" w:wrap="auto" w:vAnchor="margin" w:hAnchor="text" w:xAlign="left" w:yAlign="inline"/>
        <w:rPr>
          <w:rFonts w:ascii="Times New Roman" w:hAnsi="Times New Roman" w:eastAsia="仿宋"/>
          <w:sz w:val="44"/>
          <w:szCs w:val="44"/>
        </w:rPr>
      </w:pPr>
      <w:r>
        <w:rPr>
          <w:rFonts w:ascii="Times New Roman" w:hAnsi="Times New Roman" w:eastAsia="仿宋"/>
          <w:sz w:val="44"/>
          <w:szCs w:val="44"/>
        </w:rPr>
        <w:t>《内河航运船闸工程检测与评估技术规程》</w:t>
      </w:r>
    </w:p>
    <w:p w14:paraId="63F9172E">
      <w:pPr>
        <w:pStyle w:val="7"/>
        <w:framePr w:w="0" w:hRule="auto" w:wrap="auto" w:vAnchor="margin" w:hAnchor="text" w:xAlign="left" w:yAlign="inline"/>
        <w:rPr>
          <w:rFonts w:ascii="Times New Roman" w:hAnsi="Times New Roman" w:eastAsia="仿宋"/>
          <w:sz w:val="44"/>
          <w:szCs w:val="44"/>
        </w:rPr>
      </w:pPr>
      <w:r>
        <w:rPr>
          <w:rFonts w:ascii="Times New Roman" w:hAnsi="Times New Roman" w:eastAsia="仿宋"/>
          <w:sz w:val="44"/>
          <w:szCs w:val="44"/>
        </w:rPr>
        <w:t>编制说明</w:t>
      </w:r>
      <w:bookmarkStart w:id="11" w:name="_GoBack"/>
      <w:bookmarkEnd w:id="11"/>
    </w:p>
    <w:p w14:paraId="65FB3618">
      <w:pPr>
        <w:spacing w:after="156" w:afterLines="50" w:line="360" w:lineRule="auto"/>
        <w:jc w:val="center"/>
        <w:rPr>
          <w:rFonts w:eastAsia="仿宋"/>
          <w:b/>
          <w:sz w:val="32"/>
          <w:szCs w:val="32"/>
        </w:rPr>
      </w:pPr>
    </w:p>
    <w:p w14:paraId="7157369E">
      <w:pPr>
        <w:spacing w:after="156" w:afterLines="50" w:line="360" w:lineRule="auto"/>
        <w:jc w:val="center"/>
        <w:rPr>
          <w:rFonts w:eastAsia="仿宋"/>
          <w:b/>
          <w:sz w:val="32"/>
          <w:szCs w:val="32"/>
        </w:rPr>
      </w:pPr>
      <w:r>
        <w:rPr>
          <w:rFonts w:eastAsia="仿宋"/>
          <w:b/>
          <w:sz w:val="32"/>
          <w:szCs w:val="32"/>
        </w:rPr>
        <w:t>（征求意见稿）</w:t>
      </w:r>
    </w:p>
    <w:p w14:paraId="39D74DED">
      <w:pPr>
        <w:spacing w:after="156" w:afterLines="50" w:line="360" w:lineRule="auto"/>
        <w:jc w:val="center"/>
        <w:rPr>
          <w:rFonts w:eastAsia="仿宋"/>
          <w:b/>
          <w:sz w:val="32"/>
          <w:szCs w:val="32"/>
        </w:rPr>
      </w:pPr>
    </w:p>
    <w:p w14:paraId="13D540C3">
      <w:pPr>
        <w:spacing w:after="156" w:afterLines="50" w:line="360" w:lineRule="auto"/>
        <w:jc w:val="center"/>
        <w:rPr>
          <w:rFonts w:eastAsia="仿宋"/>
          <w:b/>
          <w:sz w:val="32"/>
          <w:szCs w:val="32"/>
        </w:rPr>
      </w:pPr>
    </w:p>
    <w:p w14:paraId="77222D23">
      <w:pPr>
        <w:spacing w:after="156" w:afterLines="50" w:line="360" w:lineRule="auto"/>
        <w:jc w:val="center"/>
        <w:rPr>
          <w:rFonts w:eastAsia="仿宋"/>
          <w:b/>
          <w:sz w:val="32"/>
          <w:szCs w:val="32"/>
        </w:rPr>
      </w:pPr>
    </w:p>
    <w:p w14:paraId="752A8FAC">
      <w:pPr>
        <w:spacing w:after="156" w:afterLines="50" w:line="360" w:lineRule="auto"/>
        <w:jc w:val="center"/>
        <w:rPr>
          <w:rFonts w:eastAsia="仿宋"/>
          <w:b/>
          <w:sz w:val="32"/>
          <w:szCs w:val="32"/>
        </w:rPr>
      </w:pPr>
    </w:p>
    <w:p w14:paraId="7CD6B257">
      <w:pPr>
        <w:spacing w:after="156" w:afterLines="50" w:line="360" w:lineRule="auto"/>
        <w:jc w:val="center"/>
        <w:rPr>
          <w:rFonts w:eastAsia="仿宋"/>
          <w:b/>
          <w:sz w:val="32"/>
          <w:szCs w:val="32"/>
        </w:rPr>
      </w:pPr>
    </w:p>
    <w:p w14:paraId="5384B35B">
      <w:pPr>
        <w:spacing w:after="156" w:afterLines="50" w:line="360" w:lineRule="auto"/>
        <w:jc w:val="center"/>
        <w:rPr>
          <w:rFonts w:eastAsia="仿宋"/>
          <w:b/>
          <w:sz w:val="32"/>
          <w:szCs w:val="32"/>
        </w:rPr>
      </w:pPr>
    </w:p>
    <w:p w14:paraId="24E19EB9">
      <w:pPr>
        <w:spacing w:after="156" w:afterLines="50" w:line="360" w:lineRule="auto"/>
        <w:jc w:val="center"/>
        <w:rPr>
          <w:rFonts w:eastAsia="仿宋"/>
          <w:b/>
          <w:sz w:val="32"/>
          <w:szCs w:val="32"/>
        </w:rPr>
      </w:pPr>
    </w:p>
    <w:p w14:paraId="7E92F1ED">
      <w:pPr>
        <w:spacing w:after="156" w:afterLines="50" w:line="360" w:lineRule="auto"/>
        <w:jc w:val="center"/>
        <w:rPr>
          <w:rFonts w:eastAsia="仿宋"/>
          <w:b/>
          <w:sz w:val="32"/>
          <w:szCs w:val="32"/>
        </w:rPr>
      </w:pPr>
    </w:p>
    <w:p w14:paraId="6657FF51">
      <w:pPr>
        <w:spacing w:after="156" w:afterLines="50" w:line="360" w:lineRule="auto"/>
        <w:jc w:val="center"/>
        <w:rPr>
          <w:rFonts w:eastAsia="仿宋"/>
          <w:b/>
          <w:sz w:val="32"/>
          <w:szCs w:val="32"/>
        </w:rPr>
      </w:pPr>
    </w:p>
    <w:p w14:paraId="58EAA7C2">
      <w:pPr>
        <w:adjustRightInd w:val="0"/>
        <w:snapToGrid w:val="0"/>
        <w:spacing w:after="156" w:afterLines="50"/>
        <w:jc w:val="center"/>
        <w:rPr>
          <w:rFonts w:eastAsia="仿宋"/>
          <w:b/>
          <w:kern w:val="0"/>
          <w:sz w:val="32"/>
          <w:szCs w:val="32"/>
        </w:rPr>
      </w:pPr>
      <w:r>
        <w:rPr>
          <w:rFonts w:eastAsia="仿宋"/>
          <w:b/>
          <w:kern w:val="0"/>
          <w:sz w:val="32"/>
          <w:szCs w:val="32"/>
        </w:rPr>
        <w:t>标准起草工作组</w:t>
      </w:r>
    </w:p>
    <w:p w14:paraId="3D329571">
      <w:pPr>
        <w:adjustRightInd w:val="0"/>
        <w:snapToGrid w:val="0"/>
        <w:spacing w:after="156" w:afterLines="50"/>
        <w:jc w:val="center"/>
        <w:rPr>
          <w:rFonts w:eastAsia="仿宋"/>
          <w:sz w:val="32"/>
          <w:szCs w:val="32"/>
        </w:rPr>
      </w:pPr>
      <w:r>
        <w:rPr>
          <w:rFonts w:eastAsia="仿宋"/>
          <w:sz w:val="32"/>
          <w:szCs w:val="32"/>
        </w:rPr>
        <w:t>2024年8月</w:t>
      </w:r>
    </w:p>
    <w:p w14:paraId="2882F87C">
      <w:pPr>
        <w:adjustRightInd w:val="0"/>
        <w:snapToGrid w:val="0"/>
        <w:spacing w:after="156" w:afterLines="50"/>
        <w:jc w:val="center"/>
        <w:rPr>
          <w:rFonts w:eastAsia="仿宋"/>
          <w:sz w:val="32"/>
          <w:szCs w:val="32"/>
        </w:rPr>
        <w:sectPr>
          <w:footerReference r:id="rId4" w:type="first"/>
          <w:headerReference r:id="rId3" w:type="default"/>
          <w:pgSz w:w="11906" w:h="16838"/>
          <w:pgMar w:top="1440" w:right="1418" w:bottom="1440" w:left="1418" w:header="851" w:footer="992" w:gutter="0"/>
          <w:cols w:space="425" w:num="1"/>
          <w:docGrid w:type="lines" w:linePitch="312" w:charSpace="0"/>
        </w:sectPr>
      </w:pPr>
    </w:p>
    <w:sdt>
      <w:sdtPr>
        <w:rPr>
          <w:rFonts w:eastAsia="仿宋"/>
          <w:b/>
          <w:sz w:val="32"/>
          <w:szCs w:val="32"/>
        </w:rPr>
        <w:id w:val="147457113"/>
        <w15:color w:val="DBDBDB"/>
        <w:docPartObj>
          <w:docPartGallery w:val="Table of Contents"/>
          <w:docPartUnique/>
        </w:docPartObj>
      </w:sdtPr>
      <w:sdtEndPr>
        <w:rPr>
          <w:rFonts w:eastAsia="仿宋"/>
          <w:b/>
          <w:bCs/>
          <w:sz w:val="21"/>
          <w:szCs w:val="28"/>
        </w:rPr>
      </w:sdtEndPr>
      <w:sdtContent>
        <w:p w14:paraId="71D2D134">
          <w:pPr>
            <w:spacing w:line="360" w:lineRule="auto"/>
            <w:jc w:val="center"/>
            <w:rPr>
              <w:rFonts w:eastAsia="仿宋"/>
              <w:b/>
              <w:sz w:val="32"/>
              <w:szCs w:val="32"/>
            </w:rPr>
          </w:pPr>
          <w:r>
            <w:rPr>
              <w:rFonts w:eastAsia="仿宋"/>
              <w:b/>
              <w:sz w:val="32"/>
              <w:szCs w:val="32"/>
            </w:rPr>
            <w:t>目 录</w:t>
          </w:r>
        </w:p>
        <w:p w14:paraId="3FB0A31D">
          <w:pPr>
            <w:pStyle w:val="4"/>
            <w:widowControl/>
            <w:tabs>
              <w:tab w:val="right" w:leader="dot" w:pos="8296"/>
            </w:tabs>
            <w:spacing w:after="100" w:line="276" w:lineRule="auto"/>
            <w:jc w:val="left"/>
            <w:rPr>
              <w:rFonts w:eastAsia="仿宋"/>
              <w:b/>
              <w:kern w:val="0"/>
              <w:sz w:val="28"/>
              <w:szCs w:val="28"/>
            </w:rPr>
          </w:pPr>
          <w:r>
            <w:rPr>
              <w:rFonts w:eastAsia="仿宋"/>
              <w:b/>
              <w:kern w:val="0"/>
              <w:sz w:val="28"/>
              <w:szCs w:val="28"/>
            </w:rPr>
            <w:fldChar w:fldCharType="begin"/>
          </w:r>
          <w:r>
            <w:rPr>
              <w:rFonts w:eastAsia="仿宋"/>
              <w:b/>
              <w:kern w:val="0"/>
              <w:sz w:val="28"/>
              <w:szCs w:val="28"/>
            </w:rPr>
            <w:instrText xml:space="preserve">TOC \o "1-3" \h \u </w:instrText>
          </w:r>
          <w:r>
            <w:rPr>
              <w:rFonts w:eastAsia="仿宋"/>
              <w:b/>
              <w:kern w:val="0"/>
              <w:sz w:val="28"/>
              <w:szCs w:val="28"/>
            </w:rPr>
            <w:fldChar w:fldCharType="separate"/>
          </w:r>
          <w:r>
            <w:fldChar w:fldCharType="begin"/>
          </w:r>
          <w:r>
            <w:instrText xml:space="preserve"> HYPERLINK \l "_Toc1343" </w:instrText>
          </w:r>
          <w:r>
            <w:fldChar w:fldCharType="separate"/>
          </w:r>
          <w:r>
            <w:rPr>
              <w:rFonts w:eastAsia="仿宋"/>
              <w:b/>
              <w:kern w:val="0"/>
              <w:sz w:val="28"/>
              <w:szCs w:val="28"/>
            </w:rPr>
            <w:t>一、目的意义</w:t>
          </w:r>
          <w:r>
            <w:rPr>
              <w:rFonts w:eastAsia="仿宋"/>
              <w:b/>
              <w:kern w:val="0"/>
              <w:sz w:val="28"/>
              <w:szCs w:val="28"/>
            </w:rPr>
            <w:tab/>
          </w:r>
          <w:r>
            <w:rPr>
              <w:rFonts w:eastAsia="仿宋"/>
              <w:b/>
              <w:kern w:val="0"/>
              <w:sz w:val="28"/>
              <w:szCs w:val="28"/>
            </w:rPr>
            <w:fldChar w:fldCharType="begin"/>
          </w:r>
          <w:r>
            <w:rPr>
              <w:rFonts w:eastAsia="仿宋"/>
              <w:b/>
              <w:kern w:val="0"/>
              <w:sz w:val="28"/>
              <w:szCs w:val="28"/>
            </w:rPr>
            <w:instrText xml:space="preserve"> PAGEREF _Toc1343 \h </w:instrText>
          </w:r>
          <w:r>
            <w:rPr>
              <w:rFonts w:eastAsia="仿宋"/>
              <w:b/>
              <w:kern w:val="0"/>
              <w:sz w:val="28"/>
              <w:szCs w:val="28"/>
            </w:rPr>
            <w:fldChar w:fldCharType="separate"/>
          </w:r>
          <w:r>
            <w:rPr>
              <w:rFonts w:eastAsia="仿宋"/>
              <w:b/>
              <w:kern w:val="0"/>
              <w:sz w:val="28"/>
              <w:szCs w:val="28"/>
            </w:rPr>
            <w:t>1</w:t>
          </w:r>
          <w:r>
            <w:rPr>
              <w:rFonts w:eastAsia="仿宋"/>
              <w:b/>
              <w:kern w:val="0"/>
              <w:sz w:val="28"/>
              <w:szCs w:val="28"/>
            </w:rPr>
            <w:fldChar w:fldCharType="end"/>
          </w:r>
          <w:r>
            <w:rPr>
              <w:rFonts w:eastAsia="仿宋"/>
              <w:b/>
              <w:kern w:val="0"/>
              <w:sz w:val="28"/>
              <w:szCs w:val="28"/>
            </w:rPr>
            <w:fldChar w:fldCharType="end"/>
          </w:r>
        </w:p>
        <w:p w14:paraId="766E66AC">
          <w:pPr>
            <w:pStyle w:val="4"/>
            <w:widowControl/>
            <w:tabs>
              <w:tab w:val="right" w:leader="dot" w:pos="8296"/>
            </w:tabs>
            <w:spacing w:after="100" w:line="276" w:lineRule="auto"/>
            <w:jc w:val="left"/>
            <w:rPr>
              <w:rFonts w:eastAsia="仿宋"/>
              <w:b/>
              <w:kern w:val="0"/>
              <w:sz w:val="28"/>
              <w:szCs w:val="28"/>
            </w:rPr>
          </w:pPr>
          <w:r>
            <w:fldChar w:fldCharType="begin"/>
          </w:r>
          <w:r>
            <w:instrText xml:space="preserve"> HYPERLINK \l "_Toc11826" </w:instrText>
          </w:r>
          <w:r>
            <w:fldChar w:fldCharType="separate"/>
          </w:r>
          <w:r>
            <w:rPr>
              <w:rFonts w:eastAsia="仿宋"/>
              <w:b/>
              <w:kern w:val="0"/>
              <w:sz w:val="28"/>
              <w:szCs w:val="28"/>
            </w:rPr>
            <w:t>二、任务来源</w:t>
          </w:r>
          <w:r>
            <w:rPr>
              <w:rFonts w:eastAsia="仿宋"/>
              <w:b/>
              <w:kern w:val="0"/>
              <w:sz w:val="28"/>
              <w:szCs w:val="28"/>
            </w:rPr>
            <w:tab/>
          </w:r>
          <w:r>
            <w:rPr>
              <w:rFonts w:eastAsia="仿宋"/>
              <w:b/>
              <w:kern w:val="0"/>
              <w:sz w:val="28"/>
              <w:szCs w:val="28"/>
            </w:rPr>
            <w:fldChar w:fldCharType="begin"/>
          </w:r>
          <w:r>
            <w:rPr>
              <w:rFonts w:eastAsia="仿宋"/>
              <w:b/>
              <w:kern w:val="0"/>
              <w:sz w:val="28"/>
              <w:szCs w:val="28"/>
            </w:rPr>
            <w:instrText xml:space="preserve"> PAGEREF _Toc11826 \h </w:instrText>
          </w:r>
          <w:r>
            <w:rPr>
              <w:rFonts w:eastAsia="仿宋"/>
              <w:b/>
              <w:kern w:val="0"/>
              <w:sz w:val="28"/>
              <w:szCs w:val="28"/>
            </w:rPr>
            <w:fldChar w:fldCharType="separate"/>
          </w:r>
          <w:r>
            <w:rPr>
              <w:rFonts w:eastAsia="仿宋"/>
              <w:b/>
              <w:kern w:val="0"/>
              <w:sz w:val="28"/>
              <w:szCs w:val="28"/>
            </w:rPr>
            <w:t>2</w:t>
          </w:r>
          <w:r>
            <w:rPr>
              <w:rFonts w:eastAsia="仿宋"/>
              <w:b/>
              <w:kern w:val="0"/>
              <w:sz w:val="28"/>
              <w:szCs w:val="28"/>
            </w:rPr>
            <w:fldChar w:fldCharType="end"/>
          </w:r>
          <w:r>
            <w:rPr>
              <w:rFonts w:eastAsia="仿宋"/>
              <w:b/>
              <w:kern w:val="0"/>
              <w:sz w:val="28"/>
              <w:szCs w:val="28"/>
            </w:rPr>
            <w:fldChar w:fldCharType="end"/>
          </w:r>
        </w:p>
        <w:p w14:paraId="0465DE35">
          <w:pPr>
            <w:pStyle w:val="4"/>
            <w:widowControl/>
            <w:tabs>
              <w:tab w:val="right" w:leader="dot" w:pos="8296"/>
            </w:tabs>
            <w:spacing w:after="100" w:line="276" w:lineRule="auto"/>
            <w:jc w:val="left"/>
            <w:rPr>
              <w:rFonts w:eastAsia="仿宋"/>
              <w:b/>
              <w:kern w:val="0"/>
              <w:sz w:val="28"/>
              <w:szCs w:val="28"/>
            </w:rPr>
          </w:pPr>
          <w:r>
            <w:fldChar w:fldCharType="begin"/>
          </w:r>
          <w:r>
            <w:instrText xml:space="preserve"> HYPERLINK \l "_Toc31444" </w:instrText>
          </w:r>
          <w:r>
            <w:fldChar w:fldCharType="separate"/>
          </w:r>
          <w:r>
            <w:rPr>
              <w:rFonts w:eastAsia="仿宋"/>
              <w:b/>
              <w:kern w:val="0"/>
              <w:sz w:val="28"/>
              <w:szCs w:val="28"/>
            </w:rPr>
            <w:t>三、编制过程</w:t>
          </w:r>
          <w:r>
            <w:rPr>
              <w:rFonts w:eastAsia="仿宋"/>
              <w:b/>
              <w:kern w:val="0"/>
              <w:sz w:val="28"/>
              <w:szCs w:val="28"/>
            </w:rPr>
            <w:tab/>
          </w:r>
          <w:r>
            <w:rPr>
              <w:rFonts w:eastAsia="仿宋"/>
              <w:b/>
              <w:kern w:val="0"/>
              <w:sz w:val="28"/>
              <w:szCs w:val="28"/>
            </w:rPr>
            <w:fldChar w:fldCharType="begin"/>
          </w:r>
          <w:r>
            <w:rPr>
              <w:rFonts w:eastAsia="仿宋"/>
              <w:b/>
              <w:kern w:val="0"/>
              <w:sz w:val="28"/>
              <w:szCs w:val="28"/>
            </w:rPr>
            <w:instrText xml:space="preserve"> PAGEREF _Toc31444 \h </w:instrText>
          </w:r>
          <w:r>
            <w:rPr>
              <w:rFonts w:eastAsia="仿宋"/>
              <w:b/>
              <w:kern w:val="0"/>
              <w:sz w:val="28"/>
              <w:szCs w:val="28"/>
            </w:rPr>
            <w:fldChar w:fldCharType="separate"/>
          </w:r>
          <w:r>
            <w:rPr>
              <w:rFonts w:eastAsia="仿宋"/>
              <w:b/>
              <w:kern w:val="0"/>
              <w:sz w:val="28"/>
              <w:szCs w:val="28"/>
            </w:rPr>
            <w:t>3</w:t>
          </w:r>
          <w:r>
            <w:rPr>
              <w:rFonts w:eastAsia="仿宋"/>
              <w:b/>
              <w:kern w:val="0"/>
              <w:sz w:val="28"/>
              <w:szCs w:val="28"/>
            </w:rPr>
            <w:fldChar w:fldCharType="end"/>
          </w:r>
          <w:r>
            <w:rPr>
              <w:rFonts w:eastAsia="仿宋"/>
              <w:b/>
              <w:kern w:val="0"/>
              <w:sz w:val="28"/>
              <w:szCs w:val="28"/>
            </w:rPr>
            <w:fldChar w:fldCharType="end"/>
          </w:r>
        </w:p>
        <w:p w14:paraId="530A4555">
          <w:pPr>
            <w:pStyle w:val="4"/>
            <w:widowControl/>
            <w:tabs>
              <w:tab w:val="right" w:leader="dot" w:pos="8296"/>
            </w:tabs>
            <w:spacing w:after="100" w:line="276" w:lineRule="auto"/>
            <w:jc w:val="left"/>
            <w:rPr>
              <w:rFonts w:eastAsia="仿宋"/>
              <w:b/>
              <w:kern w:val="0"/>
              <w:sz w:val="28"/>
              <w:szCs w:val="28"/>
            </w:rPr>
          </w:pPr>
          <w:r>
            <w:fldChar w:fldCharType="begin"/>
          </w:r>
          <w:r>
            <w:instrText xml:space="preserve"> HYPERLINK \l "_Toc26602" </w:instrText>
          </w:r>
          <w:r>
            <w:fldChar w:fldCharType="separate"/>
          </w:r>
          <w:r>
            <w:rPr>
              <w:rFonts w:eastAsia="仿宋"/>
              <w:b/>
              <w:kern w:val="0"/>
              <w:sz w:val="28"/>
              <w:szCs w:val="28"/>
            </w:rPr>
            <w:t>四、主要内容及技术指标确定的依据</w:t>
          </w:r>
          <w:r>
            <w:rPr>
              <w:rFonts w:eastAsia="仿宋"/>
              <w:b/>
              <w:kern w:val="0"/>
              <w:sz w:val="28"/>
              <w:szCs w:val="28"/>
            </w:rPr>
            <w:tab/>
          </w:r>
          <w:r>
            <w:rPr>
              <w:rFonts w:eastAsia="仿宋"/>
              <w:b/>
              <w:kern w:val="0"/>
              <w:sz w:val="28"/>
              <w:szCs w:val="28"/>
            </w:rPr>
            <w:fldChar w:fldCharType="begin"/>
          </w:r>
          <w:r>
            <w:rPr>
              <w:rFonts w:eastAsia="仿宋"/>
              <w:b/>
              <w:kern w:val="0"/>
              <w:sz w:val="28"/>
              <w:szCs w:val="28"/>
            </w:rPr>
            <w:instrText xml:space="preserve"> PAGEREF _Toc26602 \h </w:instrText>
          </w:r>
          <w:r>
            <w:rPr>
              <w:rFonts w:eastAsia="仿宋"/>
              <w:b/>
              <w:kern w:val="0"/>
              <w:sz w:val="28"/>
              <w:szCs w:val="28"/>
            </w:rPr>
            <w:fldChar w:fldCharType="separate"/>
          </w:r>
          <w:r>
            <w:rPr>
              <w:rFonts w:eastAsia="仿宋"/>
              <w:b/>
              <w:kern w:val="0"/>
              <w:sz w:val="28"/>
              <w:szCs w:val="28"/>
            </w:rPr>
            <w:t>4</w:t>
          </w:r>
          <w:r>
            <w:rPr>
              <w:rFonts w:eastAsia="仿宋"/>
              <w:b/>
              <w:kern w:val="0"/>
              <w:sz w:val="28"/>
              <w:szCs w:val="28"/>
            </w:rPr>
            <w:fldChar w:fldCharType="end"/>
          </w:r>
          <w:r>
            <w:rPr>
              <w:rFonts w:eastAsia="仿宋"/>
              <w:b/>
              <w:kern w:val="0"/>
              <w:sz w:val="28"/>
              <w:szCs w:val="28"/>
            </w:rPr>
            <w:fldChar w:fldCharType="end"/>
          </w:r>
        </w:p>
        <w:p w14:paraId="4C12C2EB">
          <w:pPr>
            <w:pStyle w:val="4"/>
            <w:widowControl/>
            <w:tabs>
              <w:tab w:val="right" w:leader="dot" w:pos="8296"/>
            </w:tabs>
            <w:spacing w:after="100" w:line="276" w:lineRule="auto"/>
            <w:jc w:val="left"/>
            <w:rPr>
              <w:rFonts w:eastAsia="仿宋"/>
              <w:b/>
              <w:kern w:val="0"/>
              <w:sz w:val="28"/>
              <w:szCs w:val="28"/>
            </w:rPr>
          </w:pPr>
          <w:r>
            <w:fldChar w:fldCharType="begin"/>
          </w:r>
          <w:r>
            <w:instrText xml:space="preserve"> HYPERLINK \l "_Toc27489" </w:instrText>
          </w:r>
          <w:r>
            <w:fldChar w:fldCharType="separate"/>
          </w:r>
          <w:r>
            <w:rPr>
              <w:rFonts w:eastAsia="仿宋"/>
              <w:b/>
              <w:kern w:val="0"/>
              <w:sz w:val="28"/>
              <w:szCs w:val="28"/>
            </w:rPr>
            <w:t>五、重大分歧意见的处理过程和依据</w:t>
          </w:r>
          <w:r>
            <w:rPr>
              <w:rFonts w:eastAsia="仿宋"/>
              <w:b/>
              <w:kern w:val="0"/>
              <w:sz w:val="28"/>
              <w:szCs w:val="28"/>
            </w:rPr>
            <w:tab/>
          </w:r>
          <w:r>
            <w:rPr>
              <w:rFonts w:eastAsia="仿宋"/>
              <w:b/>
              <w:kern w:val="0"/>
              <w:sz w:val="28"/>
              <w:szCs w:val="28"/>
            </w:rPr>
            <w:fldChar w:fldCharType="begin"/>
          </w:r>
          <w:r>
            <w:rPr>
              <w:rFonts w:eastAsia="仿宋"/>
              <w:b/>
              <w:kern w:val="0"/>
              <w:sz w:val="28"/>
              <w:szCs w:val="28"/>
            </w:rPr>
            <w:instrText xml:space="preserve"> PAGEREF _Toc27489 \h </w:instrText>
          </w:r>
          <w:r>
            <w:rPr>
              <w:rFonts w:eastAsia="仿宋"/>
              <w:b/>
              <w:kern w:val="0"/>
              <w:sz w:val="28"/>
              <w:szCs w:val="28"/>
            </w:rPr>
            <w:fldChar w:fldCharType="separate"/>
          </w:r>
          <w:r>
            <w:rPr>
              <w:rFonts w:eastAsia="仿宋"/>
              <w:b/>
              <w:kern w:val="0"/>
              <w:sz w:val="28"/>
              <w:szCs w:val="28"/>
            </w:rPr>
            <w:t>11</w:t>
          </w:r>
          <w:r>
            <w:rPr>
              <w:rFonts w:eastAsia="仿宋"/>
              <w:b/>
              <w:kern w:val="0"/>
              <w:sz w:val="28"/>
              <w:szCs w:val="28"/>
            </w:rPr>
            <w:fldChar w:fldCharType="end"/>
          </w:r>
          <w:r>
            <w:rPr>
              <w:rFonts w:eastAsia="仿宋"/>
              <w:b/>
              <w:kern w:val="0"/>
              <w:sz w:val="28"/>
              <w:szCs w:val="28"/>
            </w:rPr>
            <w:fldChar w:fldCharType="end"/>
          </w:r>
        </w:p>
        <w:p w14:paraId="06CC8093">
          <w:pPr>
            <w:pStyle w:val="4"/>
            <w:widowControl/>
            <w:tabs>
              <w:tab w:val="right" w:leader="dot" w:pos="8296"/>
            </w:tabs>
            <w:spacing w:after="100" w:line="276" w:lineRule="auto"/>
            <w:jc w:val="left"/>
            <w:rPr>
              <w:rFonts w:eastAsia="仿宋"/>
              <w:b/>
              <w:kern w:val="0"/>
              <w:sz w:val="28"/>
              <w:szCs w:val="28"/>
            </w:rPr>
          </w:pPr>
          <w:r>
            <w:fldChar w:fldCharType="begin"/>
          </w:r>
          <w:r>
            <w:instrText xml:space="preserve"> HYPERLINK \l "_Toc30148" </w:instrText>
          </w:r>
          <w:r>
            <w:fldChar w:fldCharType="separate"/>
          </w:r>
          <w:r>
            <w:rPr>
              <w:rFonts w:eastAsia="仿宋"/>
              <w:b/>
              <w:kern w:val="0"/>
              <w:sz w:val="28"/>
              <w:szCs w:val="28"/>
            </w:rPr>
            <w:t>六、与相关法律法规和标准的关系</w:t>
          </w:r>
          <w:r>
            <w:rPr>
              <w:rFonts w:eastAsia="仿宋"/>
              <w:b/>
              <w:kern w:val="0"/>
              <w:sz w:val="28"/>
              <w:szCs w:val="28"/>
            </w:rPr>
            <w:tab/>
          </w:r>
          <w:r>
            <w:rPr>
              <w:rFonts w:eastAsia="仿宋"/>
              <w:b/>
              <w:kern w:val="0"/>
              <w:sz w:val="28"/>
              <w:szCs w:val="28"/>
            </w:rPr>
            <w:fldChar w:fldCharType="begin"/>
          </w:r>
          <w:r>
            <w:rPr>
              <w:rFonts w:eastAsia="仿宋"/>
              <w:b/>
              <w:kern w:val="0"/>
              <w:sz w:val="28"/>
              <w:szCs w:val="28"/>
            </w:rPr>
            <w:instrText xml:space="preserve"> PAGEREF _Toc30148 \h </w:instrText>
          </w:r>
          <w:r>
            <w:rPr>
              <w:rFonts w:eastAsia="仿宋"/>
              <w:b/>
              <w:kern w:val="0"/>
              <w:sz w:val="28"/>
              <w:szCs w:val="28"/>
            </w:rPr>
            <w:fldChar w:fldCharType="separate"/>
          </w:r>
          <w:r>
            <w:rPr>
              <w:rFonts w:eastAsia="仿宋"/>
              <w:b/>
              <w:kern w:val="0"/>
              <w:sz w:val="28"/>
              <w:szCs w:val="28"/>
            </w:rPr>
            <w:t>12</w:t>
          </w:r>
          <w:r>
            <w:rPr>
              <w:rFonts w:eastAsia="仿宋"/>
              <w:b/>
              <w:kern w:val="0"/>
              <w:sz w:val="28"/>
              <w:szCs w:val="28"/>
            </w:rPr>
            <w:fldChar w:fldCharType="end"/>
          </w:r>
          <w:r>
            <w:rPr>
              <w:rFonts w:eastAsia="仿宋"/>
              <w:b/>
              <w:kern w:val="0"/>
              <w:sz w:val="28"/>
              <w:szCs w:val="28"/>
            </w:rPr>
            <w:fldChar w:fldCharType="end"/>
          </w:r>
        </w:p>
        <w:p w14:paraId="6E6D3AA7">
          <w:pPr>
            <w:pStyle w:val="4"/>
            <w:widowControl/>
            <w:tabs>
              <w:tab w:val="right" w:leader="dot" w:pos="8296"/>
            </w:tabs>
            <w:spacing w:after="100" w:line="276" w:lineRule="auto"/>
            <w:jc w:val="left"/>
            <w:rPr>
              <w:rFonts w:eastAsia="仿宋"/>
              <w:b/>
              <w:kern w:val="0"/>
              <w:sz w:val="28"/>
              <w:szCs w:val="28"/>
            </w:rPr>
          </w:pPr>
          <w:r>
            <w:fldChar w:fldCharType="begin"/>
          </w:r>
          <w:r>
            <w:instrText xml:space="preserve"> HYPERLINK \l "_Toc31095" </w:instrText>
          </w:r>
          <w:r>
            <w:fldChar w:fldCharType="separate"/>
          </w:r>
          <w:r>
            <w:rPr>
              <w:rFonts w:eastAsia="仿宋"/>
              <w:b/>
              <w:kern w:val="0"/>
              <w:sz w:val="28"/>
              <w:szCs w:val="28"/>
            </w:rPr>
            <w:t>七、推广实施建议</w:t>
          </w:r>
          <w:r>
            <w:rPr>
              <w:rFonts w:eastAsia="仿宋"/>
              <w:b/>
              <w:kern w:val="0"/>
              <w:sz w:val="28"/>
              <w:szCs w:val="28"/>
            </w:rPr>
            <w:tab/>
          </w:r>
          <w:r>
            <w:rPr>
              <w:rFonts w:eastAsia="仿宋"/>
              <w:b/>
              <w:kern w:val="0"/>
              <w:sz w:val="28"/>
              <w:szCs w:val="28"/>
            </w:rPr>
            <w:fldChar w:fldCharType="begin"/>
          </w:r>
          <w:r>
            <w:rPr>
              <w:rFonts w:eastAsia="仿宋"/>
              <w:b/>
              <w:kern w:val="0"/>
              <w:sz w:val="28"/>
              <w:szCs w:val="28"/>
            </w:rPr>
            <w:instrText xml:space="preserve"> PAGEREF _Toc31095 \h </w:instrText>
          </w:r>
          <w:r>
            <w:rPr>
              <w:rFonts w:eastAsia="仿宋"/>
              <w:b/>
              <w:kern w:val="0"/>
              <w:sz w:val="28"/>
              <w:szCs w:val="28"/>
            </w:rPr>
            <w:fldChar w:fldCharType="separate"/>
          </w:r>
          <w:r>
            <w:rPr>
              <w:rFonts w:eastAsia="仿宋"/>
              <w:b/>
              <w:kern w:val="0"/>
              <w:sz w:val="28"/>
              <w:szCs w:val="28"/>
            </w:rPr>
            <w:t>12</w:t>
          </w:r>
          <w:r>
            <w:rPr>
              <w:rFonts w:eastAsia="仿宋"/>
              <w:b/>
              <w:kern w:val="0"/>
              <w:sz w:val="28"/>
              <w:szCs w:val="28"/>
            </w:rPr>
            <w:fldChar w:fldCharType="end"/>
          </w:r>
          <w:r>
            <w:rPr>
              <w:rFonts w:eastAsia="仿宋"/>
              <w:b/>
              <w:kern w:val="0"/>
              <w:sz w:val="28"/>
              <w:szCs w:val="28"/>
            </w:rPr>
            <w:fldChar w:fldCharType="end"/>
          </w:r>
        </w:p>
        <w:p w14:paraId="6F6FFBCC">
          <w:pPr>
            <w:pStyle w:val="4"/>
            <w:widowControl/>
            <w:tabs>
              <w:tab w:val="right" w:leader="dot" w:pos="8296"/>
            </w:tabs>
            <w:spacing w:after="100" w:line="276" w:lineRule="auto"/>
            <w:jc w:val="left"/>
            <w:rPr>
              <w:rFonts w:eastAsia="仿宋"/>
              <w:b/>
              <w:kern w:val="0"/>
              <w:sz w:val="28"/>
              <w:szCs w:val="28"/>
            </w:rPr>
          </w:pPr>
          <w:r>
            <w:fldChar w:fldCharType="begin"/>
          </w:r>
          <w:r>
            <w:instrText xml:space="preserve"> HYPERLINK \l "_Toc8760" </w:instrText>
          </w:r>
          <w:r>
            <w:fldChar w:fldCharType="separate"/>
          </w:r>
          <w:r>
            <w:rPr>
              <w:rFonts w:eastAsia="仿宋"/>
              <w:b/>
              <w:kern w:val="0"/>
              <w:sz w:val="28"/>
              <w:szCs w:val="28"/>
            </w:rPr>
            <w:t>八、起草单位和起草人员信息及分工</w:t>
          </w:r>
          <w:r>
            <w:rPr>
              <w:rFonts w:eastAsia="仿宋"/>
              <w:b/>
              <w:kern w:val="0"/>
              <w:sz w:val="28"/>
              <w:szCs w:val="28"/>
            </w:rPr>
            <w:tab/>
          </w:r>
          <w:r>
            <w:rPr>
              <w:rFonts w:eastAsia="仿宋"/>
              <w:b/>
              <w:kern w:val="0"/>
              <w:sz w:val="28"/>
              <w:szCs w:val="28"/>
            </w:rPr>
            <w:fldChar w:fldCharType="begin"/>
          </w:r>
          <w:r>
            <w:rPr>
              <w:rFonts w:eastAsia="仿宋"/>
              <w:b/>
              <w:kern w:val="0"/>
              <w:sz w:val="28"/>
              <w:szCs w:val="28"/>
            </w:rPr>
            <w:instrText xml:space="preserve"> PAGEREF _Toc8760 \h </w:instrText>
          </w:r>
          <w:r>
            <w:rPr>
              <w:rFonts w:eastAsia="仿宋"/>
              <w:b/>
              <w:kern w:val="0"/>
              <w:sz w:val="28"/>
              <w:szCs w:val="28"/>
            </w:rPr>
            <w:fldChar w:fldCharType="separate"/>
          </w:r>
          <w:r>
            <w:rPr>
              <w:rFonts w:eastAsia="仿宋"/>
              <w:b/>
              <w:kern w:val="0"/>
              <w:sz w:val="28"/>
              <w:szCs w:val="28"/>
            </w:rPr>
            <w:t>13</w:t>
          </w:r>
          <w:r>
            <w:rPr>
              <w:rFonts w:eastAsia="仿宋"/>
              <w:b/>
              <w:kern w:val="0"/>
              <w:sz w:val="28"/>
              <w:szCs w:val="28"/>
            </w:rPr>
            <w:fldChar w:fldCharType="end"/>
          </w:r>
          <w:r>
            <w:rPr>
              <w:rFonts w:eastAsia="仿宋"/>
              <w:b/>
              <w:kern w:val="0"/>
              <w:sz w:val="28"/>
              <w:szCs w:val="28"/>
            </w:rPr>
            <w:fldChar w:fldCharType="end"/>
          </w:r>
        </w:p>
        <w:p w14:paraId="361BA6F0">
          <w:pPr>
            <w:pStyle w:val="4"/>
            <w:widowControl/>
            <w:tabs>
              <w:tab w:val="right" w:leader="dot" w:pos="8296"/>
            </w:tabs>
            <w:spacing w:after="100" w:line="276" w:lineRule="auto"/>
            <w:jc w:val="left"/>
            <w:rPr>
              <w:rFonts w:eastAsia="仿宋"/>
              <w:bCs/>
              <w:szCs w:val="28"/>
            </w:rPr>
          </w:pPr>
          <w:r>
            <w:rPr>
              <w:rFonts w:eastAsia="仿宋"/>
              <w:b/>
              <w:kern w:val="0"/>
              <w:sz w:val="28"/>
              <w:szCs w:val="28"/>
            </w:rPr>
            <w:fldChar w:fldCharType="end"/>
          </w:r>
        </w:p>
      </w:sdtContent>
    </w:sdt>
    <w:p w14:paraId="5DE01955">
      <w:pPr>
        <w:spacing w:before="360" w:after="240"/>
        <w:rPr>
          <w:rFonts w:eastAsia="仿宋"/>
          <w:bCs/>
          <w:szCs w:val="28"/>
        </w:rPr>
      </w:pPr>
    </w:p>
    <w:p w14:paraId="7938AB0A">
      <w:pPr>
        <w:spacing w:before="360" w:after="240"/>
        <w:rPr>
          <w:rFonts w:eastAsia="仿宋"/>
          <w:b/>
          <w:bCs/>
          <w:sz w:val="28"/>
          <w:szCs w:val="28"/>
        </w:rPr>
      </w:pPr>
    </w:p>
    <w:p w14:paraId="7EF8B53A">
      <w:pPr>
        <w:spacing w:before="360" w:after="240"/>
        <w:outlineLvl w:val="0"/>
        <w:rPr>
          <w:rFonts w:eastAsia="仿宋"/>
          <w:b/>
          <w:bCs/>
          <w:sz w:val="28"/>
          <w:szCs w:val="28"/>
        </w:rPr>
        <w:sectPr>
          <w:pgSz w:w="11906" w:h="16838"/>
          <w:pgMar w:top="1440" w:right="1800" w:bottom="1440" w:left="1800" w:header="851" w:footer="992" w:gutter="0"/>
          <w:cols w:space="425" w:num="1"/>
          <w:docGrid w:type="lines" w:linePitch="312" w:charSpace="0"/>
        </w:sectPr>
      </w:pPr>
    </w:p>
    <w:p w14:paraId="2FE87F67">
      <w:pPr>
        <w:spacing w:before="360" w:after="240"/>
        <w:outlineLvl w:val="0"/>
        <w:rPr>
          <w:rFonts w:eastAsia="仿宋"/>
          <w:b/>
          <w:bCs/>
          <w:sz w:val="28"/>
          <w:szCs w:val="28"/>
        </w:rPr>
      </w:pPr>
      <w:bookmarkStart w:id="0" w:name="_Toc1343"/>
      <w:r>
        <w:rPr>
          <w:rFonts w:eastAsia="仿宋"/>
          <w:b/>
          <w:bCs/>
          <w:sz w:val="28"/>
          <w:szCs w:val="28"/>
        </w:rPr>
        <w:t>一、目的意义</w:t>
      </w:r>
      <w:bookmarkEnd w:id="0"/>
    </w:p>
    <w:p w14:paraId="056C643E">
      <w:pPr>
        <w:spacing w:line="360" w:lineRule="auto"/>
        <w:ind w:firstLine="560" w:firstLineChars="200"/>
        <w:rPr>
          <w:rFonts w:eastAsia="仿宋"/>
          <w:sz w:val="28"/>
          <w:szCs w:val="28"/>
        </w:rPr>
      </w:pPr>
      <w:r>
        <w:rPr>
          <w:rFonts w:eastAsia="仿宋"/>
          <w:sz w:val="28"/>
          <w:szCs w:val="28"/>
        </w:rPr>
        <w:t>江苏省内河航运网络发达，船闸作为</w:t>
      </w:r>
      <w:r>
        <w:rPr>
          <w:rFonts w:eastAsia="仿宋"/>
          <w:color w:val="000000" w:themeColor="text1"/>
          <w:sz w:val="28"/>
          <w:szCs w:val="28"/>
          <w14:textFill>
            <w14:solidFill>
              <w14:schemeClr w14:val="tx1"/>
            </w14:solidFill>
          </w14:textFill>
        </w:rPr>
        <w:t>内河航运的关键基础设施</w:t>
      </w:r>
      <w:r>
        <w:rPr>
          <w:rFonts w:eastAsia="仿宋"/>
          <w:sz w:val="28"/>
          <w:szCs w:val="28"/>
        </w:rPr>
        <w:t>，在地区水运保通保畅方面发挥了重要作用。截止2023年底，全省共有交通管理的航运梯级53个、船闸84座。就江苏省现役内河航道通航船闸而言，相当数量的船闸建成时间较早，当时相应的建设规范不够全面，标准相对较低，再加上运行过程中受到水流、船舶碰撞等长期作用以及老化等原因，存在多方面的隐患。此外，近年来船舶运量和船型的逐渐加大，超设计要求的船型通过船闸时有发生，极易导致船闸结构和附属设施的运营负荷超设计值，船闸结构、设备和导航助航设施问题频发。</w:t>
      </w:r>
    </w:p>
    <w:p w14:paraId="2A4E5F7D">
      <w:pPr>
        <w:spacing w:line="360" w:lineRule="auto"/>
        <w:ind w:firstLine="560" w:firstLineChars="200"/>
        <w:rPr>
          <w:rFonts w:eastAsia="仿宋"/>
          <w:sz w:val="28"/>
          <w:szCs w:val="28"/>
        </w:rPr>
      </w:pPr>
      <w:r>
        <w:rPr>
          <w:rFonts w:eastAsia="仿宋"/>
          <w:sz w:val="28"/>
          <w:szCs w:val="28"/>
        </w:rPr>
        <w:t>针对上述问题，船闸管理单位均会进行定期的巡视检查和保养维修作业，但由于目前尚无统一的船闸日常检查、定期检测、评估复核的规范标准，给相关部门的工作开展带来了较大困难，具体表现在以下方面；（1）日常检查缺少标准依据，检查内容和检查周期各单位要求不一，很难做到科学全面，安全隐患也难以及时发现；（2）受专业技术能力限制，部分船闸往往忽视定期监测的重要性，船闸工程整体安全性得不到有效保障；（3）大部分船闸的养护维修工作均是定期进行，与定期检查、检测互相脱节，缺乏对船闸结构健康状态的全面了解，具有一定的盲目性。</w:t>
      </w:r>
    </w:p>
    <w:p w14:paraId="1BB20465">
      <w:pPr>
        <w:spacing w:line="360" w:lineRule="auto"/>
        <w:ind w:firstLine="560" w:firstLineChars="200"/>
      </w:pPr>
      <w:r>
        <w:rPr>
          <w:rFonts w:eastAsia="仿宋"/>
          <w:sz w:val="28"/>
          <w:szCs w:val="28"/>
        </w:rPr>
        <w:t>因此，本规范拟针对上述问题，充分结合相关研究成果和生产实践经验，开展《内河航运船闸工程检测与评估技术规程》（以下简称《规程》）编制工作。本《规程》的编制具有如下重要意义：（1）对船闸定期检查、定期测量观测、定期检测、评估复核的相关内容做了详细规定，具有较高的可执行性，能够有效指导相关部门开展船闸检测评估工作。（2）构建了一套完整地船闸检测评估体系，将日常检查、测量观测、检测、评估复核、技术状态分级有机结合在一起，并且最终根据分级结果科学地确定维修养护措施。（3）本《规程》的编制可以填补交通行业船闸检测评估的空白，为保障内河航道、船闸的安全、高效运行提供技术支撑。</w:t>
      </w:r>
    </w:p>
    <w:p w14:paraId="175F6332">
      <w:pPr>
        <w:spacing w:before="360" w:after="240"/>
        <w:outlineLvl w:val="0"/>
        <w:rPr>
          <w:rFonts w:eastAsia="仿宋"/>
          <w:b/>
          <w:bCs/>
          <w:sz w:val="28"/>
          <w:szCs w:val="28"/>
        </w:rPr>
      </w:pPr>
      <w:bookmarkStart w:id="1" w:name="_Toc11826"/>
      <w:r>
        <w:rPr>
          <w:rFonts w:eastAsia="仿宋"/>
          <w:b/>
          <w:bCs/>
          <w:sz w:val="28"/>
          <w:szCs w:val="28"/>
        </w:rPr>
        <w:t>二、任务来源</w:t>
      </w:r>
      <w:bookmarkEnd w:id="1"/>
    </w:p>
    <w:p w14:paraId="416D3A19">
      <w:pPr>
        <w:spacing w:line="360" w:lineRule="auto"/>
        <w:ind w:firstLine="560" w:firstLineChars="200"/>
        <w:rPr>
          <w:rFonts w:eastAsia="仿宋"/>
          <w:sz w:val="28"/>
          <w:szCs w:val="28"/>
        </w:rPr>
      </w:pPr>
      <w:r>
        <w:rPr>
          <w:rFonts w:eastAsia="仿宋"/>
          <w:sz w:val="28"/>
          <w:szCs w:val="28"/>
        </w:rPr>
        <w:t>2023年8月，依据江苏省市场监督管理局关于《省市场监管局关于下达2023年度江苏省地方标准项目计划的通知》（苏市监标〔2023〕173号），本标准是2023年度江苏省地方标准项目计划的第67号，标准名称为《内河航运船闸工程检测与评估技术规程》，起草单位为</w:t>
      </w:r>
      <w:bookmarkStart w:id="2" w:name="_Hlk174781023"/>
      <w:r>
        <w:rPr>
          <w:rFonts w:eastAsia="仿宋"/>
          <w:sz w:val="28"/>
          <w:szCs w:val="28"/>
        </w:rPr>
        <w:t>华设检测科技有限公司、华设设计集团股份有限公司、江苏省交通运输厅港航事业发展中心、京杭运河江苏省交通运输厅苏北航务管理处、东南大学</w:t>
      </w:r>
      <w:bookmarkEnd w:id="2"/>
      <w:r>
        <w:rPr>
          <w:rFonts w:eastAsia="仿宋"/>
          <w:sz w:val="28"/>
          <w:szCs w:val="28"/>
        </w:rPr>
        <w:t>，对口行政主管部门江苏省交通运输厅。</w:t>
      </w:r>
    </w:p>
    <w:p w14:paraId="165AAF1F">
      <w:pPr>
        <w:spacing w:line="360" w:lineRule="auto"/>
        <w:rPr>
          <w:rFonts w:eastAsia="仿宋"/>
        </w:rPr>
      </w:pPr>
      <w:r>
        <mc:AlternateContent>
          <mc:Choice Requires="wps">
            <w:drawing>
              <wp:anchor distT="0" distB="0" distL="114300" distR="114300" simplePos="0" relativeHeight="251659264" behindDoc="0" locked="0" layoutInCell="1" allowOverlap="1">
                <wp:simplePos x="0" y="0"/>
                <wp:positionH relativeFrom="column">
                  <wp:posOffset>2856230</wp:posOffset>
                </wp:positionH>
                <wp:positionV relativeFrom="paragraph">
                  <wp:posOffset>895985</wp:posOffset>
                </wp:positionV>
                <wp:extent cx="2108200" cy="292100"/>
                <wp:effectExtent l="9525" t="9525" r="15875" b="15875"/>
                <wp:wrapNone/>
                <wp:docPr id="4" name="圆角矩形 4"/>
                <wp:cNvGraphicFramePr/>
                <a:graphic xmlns:a="http://schemas.openxmlformats.org/drawingml/2006/main">
                  <a:graphicData uri="http://schemas.microsoft.com/office/word/2010/wordprocessingShape">
                    <wps:wsp>
                      <wps:cNvSpPr/>
                      <wps:spPr>
                        <a:xfrm>
                          <a:off x="3999230" y="1810385"/>
                          <a:ext cx="2108200" cy="292100"/>
                        </a:xfrm>
                        <a:prstGeom prst="roundRect">
                          <a:avLst/>
                        </a:prstGeom>
                        <a:noFill/>
                        <a:ln w="19050">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24.9pt;margin-top:70.55pt;height:23pt;width:166pt;z-index:251659264;v-text-anchor:middle;mso-width-relative:page;mso-height-relative:page;" filled="f" stroked="t" coordsize="21600,21600" arcsize="0.166666666666667" o:gfxdata="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DazZGtYAAAALAQAADwAAAAAA&#10;AAABACAAAAAiAAAAZHJzL2Rvd25yZXYueG1sUEsBAhQAFAAAAAgAh07iQJ61PNOHAgAA4gQAAA4A&#10;AAAAAAAAAQAgAAAAJQEAAGRycy9lMm9Eb2MueG1sUEsFBgAAAAAGAAYAWQEAAB4GAAAAAA==&#10;">
                <v:fill on="f" focussize="0,0"/>
                <v:stroke weight="1.5pt" color="#FF0000 [2404]" miterlimit="8" joinstyle="miter"/>
                <v:imagedata o:title=""/>
                <o:lock v:ext="edit" aspectratio="f"/>
              </v:roundrect>
            </w:pict>
          </mc:Fallback>
        </mc:AlternateContent>
      </w:r>
      <w:r>
        <w:rPr>
          <w:rFonts w:eastAsia="仿宋"/>
        </w:rPr>
        <w:drawing>
          <wp:inline distT="0" distB="0" distL="114300" distR="114300">
            <wp:extent cx="2512060" cy="3658235"/>
            <wp:effectExtent l="0" t="0" r="254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512060" cy="3658235"/>
                    </a:xfrm>
                    <a:prstGeom prst="rect">
                      <a:avLst/>
                    </a:prstGeom>
                    <a:noFill/>
                    <a:ln>
                      <a:noFill/>
                    </a:ln>
                  </pic:spPr>
                </pic:pic>
              </a:graphicData>
            </a:graphic>
          </wp:inline>
        </w:drawing>
      </w:r>
      <w:r>
        <w:rPr>
          <w:rFonts w:eastAsia="仿宋"/>
        </w:rPr>
        <w:t xml:space="preserve"> </w:t>
      </w:r>
      <w:r>
        <w:rPr>
          <w:rFonts w:eastAsia="仿宋"/>
        </w:rPr>
        <w:drawing>
          <wp:inline distT="0" distB="0" distL="114300" distR="114300">
            <wp:extent cx="2586355" cy="3657600"/>
            <wp:effectExtent l="0" t="0" r="4445" b="0"/>
            <wp:docPr id="3" name="图片 3" descr="省市场监管局关于下达2023年度江苏省地方标准项目计划的通知_页面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省市场监管局关于下达2023年度江苏省地方标准项目计划的通知_页面_09"/>
                    <pic:cNvPicPr>
                      <a:picLocks noChangeAspect="1"/>
                    </pic:cNvPicPr>
                  </pic:nvPicPr>
                  <pic:blipFill>
                    <a:blip r:embed="rId9"/>
                    <a:stretch>
                      <a:fillRect/>
                    </a:stretch>
                  </pic:blipFill>
                  <pic:spPr>
                    <a:xfrm>
                      <a:off x="0" y="0"/>
                      <a:ext cx="2586355" cy="3657600"/>
                    </a:xfrm>
                    <a:prstGeom prst="rect">
                      <a:avLst/>
                    </a:prstGeom>
                  </pic:spPr>
                </pic:pic>
              </a:graphicData>
            </a:graphic>
          </wp:inline>
        </w:drawing>
      </w:r>
    </w:p>
    <w:p w14:paraId="2FFCEA2A">
      <w:pPr>
        <w:spacing w:before="156" w:beforeLines="50" w:after="156" w:afterLines="50"/>
        <w:jc w:val="center"/>
        <w:rPr>
          <w:b/>
          <w:bCs/>
        </w:rPr>
      </w:pPr>
      <w:r>
        <w:rPr>
          <w:rFonts w:eastAsia="仿宋"/>
          <w:b/>
          <w:bCs/>
          <w:szCs w:val="21"/>
        </w:rPr>
        <w:t>图1  标准立项通知</w:t>
      </w:r>
    </w:p>
    <w:p w14:paraId="14B0260D">
      <w:pPr>
        <w:spacing w:before="360" w:after="240"/>
        <w:outlineLvl w:val="0"/>
        <w:rPr>
          <w:rFonts w:eastAsia="仿宋"/>
          <w:b/>
          <w:bCs/>
          <w:sz w:val="28"/>
          <w:szCs w:val="28"/>
        </w:rPr>
      </w:pPr>
      <w:bookmarkStart w:id="3" w:name="_Toc31444"/>
      <w:r>
        <w:rPr>
          <w:rFonts w:eastAsia="仿宋"/>
          <w:b/>
          <w:bCs/>
          <w:sz w:val="28"/>
          <w:szCs w:val="28"/>
        </w:rPr>
        <w:t>三、编制过程</w:t>
      </w:r>
      <w:bookmarkEnd w:id="3"/>
    </w:p>
    <w:p w14:paraId="44B07D91">
      <w:pPr>
        <w:spacing w:line="360" w:lineRule="auto"/>
        <w:ind w:firstLine="560" w:firstLineChars="200"/>
        <w:rPr>
          <w:rFonts w:eastAsia="仿宋"/>
          <w:sz w:val="28"/>
          <w:szCs w:val="28"/>
        </w:rPr>
      </w:pPr>
      <w:r>
        <w:rPr>
          <w:rFonts w:eastAsia="仿宋"/>
          <w:sz w:val="28"/>
          <w:szCs w:val="28"/>
        </w:rPr>
        <w:t>本《规程》研究与编制自2023年1月以来，主要分为以下五个阶段：</w:t>
      </w:r>
    </w:p>
    <w:p w14:paraId="41CDEA09">
      <w:pPr>
        <w:spacing w:line="360" w:lineRule="auto"/>
        <w:ind w:firstLine="562" w:firstLineChars="200"/>
        <w:rPr>
          <w:rFonts w:eastAsia="仿宋"/>
          <w:sz w:val="28"/>
          <w:szCs w:val="28"/>
        </w:rPr>
      </w:pPr>
      <w:r>
        <w:rPr>
          <w:rFonts w:eastAsia="仿宋"/>
          <w:b/>
          <w:bCs/>
          <w:sz w:val="28"/>
          <w:szCs w:val="28"/>
        </w:rPr>
        <w:t>一是标准申报阶段（2023年1月~3月）。</w:t>
      </w:r>
      <w:r>
        <w:rPr>
          <w:rFonts w:eastAsia="仿宋"/>
          <w:sz w:val="28"/>
          <w:szCs w:val="28"/>
        </w:rPr>
        <w:t>按照《江苏省标准监督管理办法》要求开展《规程》的立项工作，研究提出本标准制定的必要性、可行性、主要内容和预期效益等，并填写《江苏省地方标准项目建议书》。</w:t>
      </w:r>
    </w:p>
    <w:p w14:paraId="13982441">
      <w:pPr>
        <w:spacing w:line="360" w:lineRule="auto"/>
        <w:ind w:firstLine="562" w:firstLineChars="200"/>
        <w:rPr>
          <w:rFonts w:eastAsia="仿宋"/>
          <w:b/>
          <w:bCs/>
          <w:sz w:val="28"/>
          <w:szCs w:val="28"/>
        </w:rPr>
      </w:pPr>
      <w:r>
        <w:rPr>
          <w:rFonts w:eastAsia="仿宋"/>
          <w:b/>
          <w:bCs/>
          <w:sz w:val="28"/>
          <w:szCs w:val="28"/>
        </w:rPr>
        <w:t>二是调研阶段（2023年4月~7月）。</w:t>
      </w:r>
      <w:r>
        <w:rPr>
          <w:rFonts w:eastAsia="仿宋"/>
          <w:sz w:val="28"/>
          <w:szCs w:val="28"/>
        </w:rPr>
        <w:t>通过查阅相关标准规范、政策文件，与船闸管理机构召开座谈会并实地观察船闸运行与检测情况等，全面准确了解目前交通船闸建设和养护现状。同时，对我省的航道养护技术核查、船闸技术状况综合检测项目的实施情况开展学习调研。</w:t>
      </w:r>
    </w:p>
    <w:p w14:paraId="4EB381F1">
      <w:pPr>
        <w:spacing w:line="360" w:lineRule="auto"/>
        <w:ind w:firstLine="562" w:firstLineChars="200"/>
        <w:rPr>
          <w:rFonts w:eastAsia="仿宋"/>
          <w:sz w:val="28"/>
          <w:szCs w:val="28"/>
        </w:rPr>
      </w:pPr>
      <w:r>
        <w:rPr>
          <w:rFonts w:eastAsia="仿宋"/>
          <w:b/>
          <w:bCs/>
          <w:sz w:val="28"/>
          <w:szCs w:val="28"/>
        </w:rPr>
        <w:t>三是草案编制阶段（2023年8月~12月）。</w:t>
      </w:r>
      <w:r>
        <w:rPr>
          <w:rFonts w:eastAsia="仿宋"/>
          <w:sz w:val="28"/>
          <w:szCs w:val="28"/>
        </w:rPr>
        <w:t>在资料收集分析和现场调研的基础上，从船闸定期检查、定期测量观测、定期检测、评估复核、技术状态分类评定、技术档案等方面，编制形成《规程》（初稿）。</w:t>
      </w:r>
    </w:p>
    <w:p w14:paraId="578CDA75">
      <w:pPr>
        <w:spacing w:line="360" w:lineRule="auto"/>
        <w:ind w:firstLine="562" w:firstLineChars="200"/>
        <w:rPr>
          <w:rFonts w:eastAsia="仿宋"/>
          <w:sz w:val="28"/>
          <w:szCs w:val="28"/>
        </w:rPr>
      </w:pPr>
      <w:r>
        <w:rPr>
          <w:rFonts w:eastAsia="仿宋"/>
          <w:b/>
          <w:bCs/>
          <w:sz w:val="28"/>
          <w:szCs w:val="28"/>
        </w:rPr>
        <w:t>四是征求意见与论证修改阶段（2024年1月~7月）。</w:t>
      </w:r>
      <w:r>
        <w:rPr>
          <w:rFonts w:eastAsia="仿宋"/>
          <w:sz w:val="28"/>
          <w:szCs w:val="28"/>
        </w:rPr>
        <w:t>书面征求各设区市港航（航道）事业发展中心的意见和建议，同时在苏北航务管理处进行座谈交流，对反馈意见和建议逐条复核、逐一做出采纳处理。进一步征求</w:t>
      </w:r>
      <w:r>
        <w:rPr>
          <w:rFonts w:hint="eastAsia" w:eastAsia="仿宋"/>
          <w:sz w:val="28"/>
          <w:szCs w:val="28"/>
          <w:lang w:val="en-US" w:eastAsia="zh-CN"/>
        </w:rPr>
        <w:t>江苏省交通运输厅、</w:t>
      </w:r>
      <w:r>
        <w:rPr>
          <w:rFonts w:hint="eastAsia" w:eastAsia="仿宋"/>
          <w:sz w:val="28"/>
          <w:szCs w:val="28"/>
        </w:rPr>
        <w:t>天津</w:t>
      </w:r>
      <w:r>
        <w:rPr>
          <w:rFonts w:eastAsia="仿宋"/>
          <w:sz w:val="28"/>
          <w:szCs w:val="28"/>
        </w:rPr>
        <w:t>水运工程科学研究院、南京水利科学研究院、</w:t>
      </w:r>
      <w:r>
        <w:rPr>
          <w:rFonts w:hint="eastAsia" w:eastAsia="仿宋"/>
          <w:sz w:val="28"/>
          <w:szCs w:val="28"/>
        </w:rPr>
        <w:t>江苏省交通工程集团有限公司</w:t>
      </w:r>
      <w:r>
        <w:rPr>
          <w:rFonts w:eastAsia="仿宋"/>
          <w:sz w:val="28"/>
          <w:szCs w:val="28"/>
        </w:rPr>
        <w:t>等意见和建议，对反馈意见和建议逐条复核、逐一做出采纳处理。</w:t>
      </w:r>
    </w:p>
    <w:p w14:paraId="51A5A786">
      <w:pPr>
        <w:spacing w:line="360" w:lineRule="auto"/>
        <w:ind w:firstLine="562" w:firstLineChars="200"/>
      </w:pPr>
      <w:r>
        <w:rPr>
          <w:rFonts w:eastAsia="仿宋"/>
          <w:b/>
          <w:bCs/>
          <w:sz w:val="28"/>
          <w:szCs w:val="28"/>
        </w:rPr>
        <w:t>五是预审查与修改完善阶段（2024年8月~9月）。</w:t>
      </w:r>
      <w:r>
        <w:rPr>
          <w:rFonts w:hint="eastAsia" w:eastAsia="仿宋"/>
          <w:b/>
          <w:bCs/>
          <w:sz w:val="28"/>
          <w:szCs w:val="28"/>
        </w:rPr>
        <w:t>计划</w:t>
      </w:r>
      <w:r>
        <w:rPr>
          <w:rFonts w:eastAsia="仿宋"/>
          <w:b/>
          <w:bCs/>
          <w:sz w:val="28"/>
          <w:szCs w:val="28"/>
        </w:rPr>
        <w:t>于</w:t>
      </w:r>
      <w:r>
        <w:rPr>
          <w:rFonts w:eastAsia="仿宋"/>
          <w:sz w:val="28"/>
          <w:szCs w:val="28"/>
        </w:rPr>
        <w:t>2024年9月，江苏省交通运输标准化管理委员会运输分委会在南京组织召开地方标准《内河航运船闸工程检测与评估技术规程》预审会。同时，根据船闸运维发展新形势和预审会意见，对《规程》进行修改完善，并进一步征求省交通运输厅的意见。</w:t>
      </w:r>
    </w:p>
    <w:p w14:paraId="5B18A488">
      <w:pPr>
        <w:spacing w:before="360" w:after="240"/>
        <w:outlineLvl w:val="0"/>
        <w:rPr>
          <w:rFonts w:eastAsia="仿宋"/>
          <w:b/>
          <w:bCs/>
          <w:sz w:val="28"/>
          <w:szCs w:val="28"/>
        </w:rPr>
      </w:pPr>
      <w:bookmarkStart w:id="4" w:name="_Toc26602"/>
      <w:r>
        <w:rPr>
          <w:rFonts w:eastAsia="仿宋"/>
          <w:b/>
          <w:bCs/>
          <w:sz w:val="28"/>
          <w:szCs w:val="28"/>
        </w:rPr>
        <w:t>四、主要内容及技术指标确定的依据</w:t>
      </w:r>
      <w:bookmarkEnd w:id="4"/>
    </w:p>
    <w:p w14:paraId="5B6CE1FA">
      <w:pPr>
        <w:spacing w:line="360" w:lineRule="auto"/>
        <w:ind w:firstLine="562" w:firstLineChars="200"/>
        <w:rPr>
          <w:rFonts w:eastAsia="仿宋"/>
          <w:b/>
          <w:bCs/>
          <w:sz w:val="28"/>
          <w:szCs w:val="28"/>
        </w:rPr>
      </w:pPr>
      <w:r>
        <w:rPr>
          <w:rFonts w:eastAsia="仿宋"/>
          <w:b/>
          <w:bCs/>
          <w:sz w:val="28"/>
          <w:szCs w:val="28"/>
        </w:rPr>
        <w:t>（一）主要内容</w:t>
      </w:r>
    </w:p>
    <w:p w14:paraId="7B261539">
      <w:pPr>
        <w:spacing w:line="360" w:lineRule="auto"/>
        <w:ind w:firstLine="560" w:firstLineChars="200"/>
        <w:rPr>
          <w:rFonts w:eastAsia="仿宋"/>
          <w:sz w:val="28"/>
          <w:szCs w:val="28"/>
        </w:rPr>
      </w:pPr>
      <w:r>
        <w:rPr>
          <w:rFonts w:eastAsia="仿宋"/>
          <w:kern w:val="0"/>
          <w:sz w:val="28"/>
          <w:szCs w:val="28"/>
        </w:rPr>
        <w:t>本标准主要规定了内河航运船闸工程定期检查、定期测量观测、定期检测、评估复核、技术状态分类评定、技术档案等要求。</w:t>
      </w:r>
    </w:p>
    <w:p w14:paraId="7F093100">
      <w:pPr>
        <w:spacing w:line="360" w:lineRule="auto"/>
        <w:ind w:firstLine="562" w:firstLineChars="200"/>
        <w:rPr>
          <w:rFonts w:eastAsia="仿宋"/>
          <w:b/>
          <w:bCs/>
          <w:sz w:val="28"/>
          <w:szCs w:val="28"/>
        </w:rPr>
      </w:pPr>
      <w:r>
        <w:rPr>
          <w:rFonts w:eastAsia="仿宋"/>
          <w:b/>
          <w:bCs/>
          <w:sz w:val="28"/>
          <w:szCs w:val="28"/>
        </w:rPr>
        <w:t>（二）技术指标确定的依据</w:t>
      </w:r>
    </w:p>
    <w:p w14:paraId="1EA9D299">
      <w:pPr>
        <w:spacing w:line="360" w:lineRule="auto"/>
        <w:ind w:firstLine="562" w:firstLineChars="200"/>
        <w:rPr>
          <w:rFonts w:eastAsia="仿宋"/>
          <w:b/>
          <w:bCs/>
          <w:kern w:val="0"/>
          <w:sz w:val="28"/>
          <w:szCs w:val="28"/>
        </w:rPr>
      </w:pPr>
      <w:r>
        <w:rPr>
          <w:rFonts w:eastAsia="仿宋"/>
          <w:b/>
          <w:bCs/>
          <w:kern w:val="0"/>
          <w:sz w:val="28"/>
          <w:szCs w:val="28"/>
        </w:rPr>
        <w:t>（1）定期检查</w:t>
      </w:r>
    </w:p>
    <w:p w14:paraId="74010C53">
      <w:pPr>
        <w:spacing w:line="360" w:lineRule="auto"/>
        <w:ind w:firstLine="560" w:firstLineChars="200"/>
        <w:rPr>
          <w:rFonts w:eastAsia="方正仿宋_GBK"/>
          <w:sz w:val="28"/>
          <w:szCs w:val="32"/>
        </w:rPr>
      </w:pPr>
      <w:r>
        <w:rPr>
          <w:rFonts w:eastAsia="方正仿宋_GBK"/>
          <w:sz w:val="28"/>
          <w:szCs w:val="32"/>
        </w:rPr>
        <w:t>根据江苏省级航道管理部门发布的《江苏省交通船闸维护系列标准》以及交通运输部和江苏省相继出台的《船闸维护规程》（DB 32/T 3310-2017）、《通航建筑物维护技术规范》（JTS 320-2-2018）、《交通船闸维护技术规范》等相关要求，明确了船闸定期检查工作由船闸管理部门组织实施，定期检查范围包括水工建筑物、闸阀门、启闭机、电气设施等，并对检查范围内的检查内容及其检查方法、检查周期等做出了规定。</w:t>
      </w:r>
    </w:p>
    <w:p w14:paraId="6742B6B3">
      <w:pPr>
        <w:spacing w:line="360" w:lineRule="auto"/>
        <w:ind w:firstLine="562" w:firstLineChars="200"/>
        <w:rPr>
          <w:rFonts w:eastAsia="仿宋"/>
          <w:b/>
          <w:bCs/>
          <w:kern w:val="0"/>
          <w:sz w:val="28"/>
          <w:szCs w:val="28"/>
        </w:rPr>
      </w:pPr>
      <w:r>
        <w:rPr>
          <w:rFonts w:eastAsia="仿宋"/>
          <w:b/>
          <w:bCs/>
          <w:kern w:val="0"/>
          <w:sz w:val="28"/>
          <w:szCs w:val="28"/>
        </w:rPr>
        <w:t>（2）定期测量观测</w:t>
      </w:r>
    </w:p>
    <w:p w14:paraId="0567D642">
      <w:pPr>
        <w:spacing w:line="360" w:lineRule="auto"/>
        <w:ind w:firstLine="560" w:firstLineChars="200"/>
        <w:rPr>
          <w:rFonts w:eastAsia="仿宋"/>
          <w:kern w:val="0"/>
          <w:sz w:val="28"/>
          <w:szCs w:val="28"/>
        </w:rPr>
      </w:pPr>
      <w:r>
        <w:rPr>
          <w:rFonts w:eastAsia="仿宋"/>
          <w:kern w:val="0"/>
          <w:sz w:val="28"/>
          <w:szCs w:val="28"/>
        </w:rPr>
        <w:t>根据《水运工程水工建筑物原型观测技术规范》（JTS 235-2016）、《水运工程测量规范》（JTS 131-2012）等相关要求，结合船闸日常观测实际，明确了船闸定期测量观测内容为水平位移观测、垂直位移观测及水位观测等，并对观测网布设要求、观测方法及精度、观测周期、观测仪器的选用等作出了规定。</w:t>
      </w:r>
    </w:p>
    <w:p w14:paraId="7B9364A9">
      <w:pPr>
        <w:spacing w:line="360" w:lineRule="auto"/>
        <w:ind w:firstLine="560" w:firstLineChars="200"/>
        <w:rPr>
          <w:rFonts w:eastAsia="仿宋"/>
          <w:kern w:val="0"/>
          <w:sz w:val="28"/>
          <w:szCs w:val="28"/>
        </w:rPr>
      </w:pPr>
      <w:r>
        <w:rPr>
          <w:rFonts w:eastAsia="仿宋"/>
          <w:kern w:val="0"/>
          <w:sz w:val="28"/>
          <w:szCs w:val="28"/>
        </w:rPr>
        <w:t>其中，变形观测点的观测精度和适用范围如表1所示，垂直位移观测方法及精度如表2所示，水尺零点高程测量允许高差不符值和视线长度如表3所示，自记水位计允许测量误差如表4所示.</w:t>
      </w:r>
    </w:p>
    <w:p w14:paraId="60899A8F">
      <w:pPr>
        <w:spacing w:line="360" w:lineRule="auto"/>
        <w:jc w:val="center"/>
        <w:rPr>
          <w:rFonts w:eastAsia="仿宋"/>
          <w:b/>
          <w:bCs/>
          <w:kern w:val="0"/>
          <w:szCs w:val="21"/>
        </w:rPr>
      </w:pPr>
      <w:r>
        <w:rPr>
          <w:rFonts w:eastAsia="仿宋"/>
          <w:b/>
          <w:bCs/>
          <w:kern w:val="0"/>
          <w:szCs w:val="21"/>
        </w:rPr>
        <w:t>表1 变形观测点的观测精度和适用范围</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700"/>
        <w:gridCol w:w="1700"/>
        <w:gridCol w:w="4202"/>
      </w:tblGrid>
      <w:tr w14:paraId="67FDD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766" w:type="dxa"/>
            <w:vAlign w:val="center"/>
          </w:tcPr>
          <w:p w14:paraId="19FB40D6">
            <w:pPr>
              <w:ind w:left="-90"/>
              <w:jc w:val="center"/>
              <w:rPr>
                <w:rFonts w:eastAsia="仿宋"/>
                <w:b/>
                <w:bCs/>
                <w:szCs w:val="21"/>
              </w:rPr>
            </w:pPr>
            <w:r>
              <w:rPr>
                <w:rFonts w:eastAsia="仿宋"/>
                <w:b/>
                <w:bCs/>
                <w:szCs w:val="21"/>
              </w:rPr>
              <w:t>等级</w:t>
            </w:r>
          </w:p>
        </w:tc>
        <w:tc>
          <w:tcPr>
            <w:tcW w:w="1700" w:type="dxa"/>
            <w:vAlign w:val="center"/>
          </w:tcPr>
          <w:p w14:paraId="56F2FFE6">
            <w:pPr>
              <w:ind w:left="-90"/>
              <w:jc w:val="center"/>
              <w:rPr>
                <w:rFonts w:eastAsia="仿宋"/>
                <w:b/>
                <w:bCs/>
                <w:szCs w:val="21"/>
              </w:rPr>
            </w:pPr>
            <w:r>
              <w:rPr>
                <w:rFonts w:eastAsia="仿宋"/>
                <w:b/>
                <w:bCs/>
                <w:szCs w:val="21"/>
              </w:rPr>
              <w:t>点位中误差(mm)</w:t>
            </w:r>
          </w:p>
        </w:tc>
        <w:tc>
          <w:tcPr>
            <w:tcW w:w="1700" w:type="dxa"/>
            <w:vAlign w:val="center"/>
          </w:tcPr>
          <w:p w14:paraId="434FF033">
            <w:pPr>
              <w:ind w:left="-90"/>
              <w:jc w:val="center"/>
              <w:rPr>
                <w:rFonts w:eastAsia="仿宋"/>
                <w:b/>
                <w:bCs/>
                <w:szCs w:val="21"/>
              </w:rPr>
            </w:pPr>
            <w:r>
              <w:rPr>
                <w:rFonts w:eastAsia="仿宋"/>
                <w:b/>
                <w:bCs/>
                <w:szCs w:val="21"/>
              </w:rPr>
              <w:t>高程中误差(mm)</w:t>
            </w:r>
          </w:p>
        </w:tc>
        <w:tc>
          <w:tcPr>
            <w:tcW w:w="4202" w:type="dxa"/>
            <w:vAlign w:val="center"/>
          </w:tcPr>
          <w:p w14:paraId="6CBE9F9A">
            <w:pPr>
              <w:ind w:left="-90"/>
              <w:jc w:val="center"/>
              <w:rPr>
                <w:rFonts w:eastAsia="仿宋"/>
                <w:b/>
                <w:bCs/>
                <w:szCs w:val="21"/>
              </w:rPr>
            </w:pPr>
            <w:r>
              <w:rPr>
                <w:rFonts w:eastAsia="仿宋"/>
                <w:b/>
                <w:bCs/>
                <w:szCs w:val="21"/>
              </w:rPr>
              <w:t>适用范围</w:t>
            </w:r>
          </w:p>
        </w:tc>
      </w:tr>
      <w:tr w14:paraId="069D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766" w:type="dxa"/>
            <w:vAlign w:val="center"/>
          </w:tcPr>
          <w:p w14:paraId="10395E4C">
            <w:pPr>
              <w:ind w:left="-90"/>
              <w:jc w:val="center"/>
              <w:rPr>
                <w:rFonts w:eastAsia="仿宋"/>
                <w:szCs w:val="21"/>
              </w:rPr>
            </w:pPr>
            <w:r>
              <w:rPr>
                <w:rFonts w:eastAsia="仿宋"/>
                <w:szCs w:val="21"/>
              </w:rPr>
              <w:t>一等</w:t>
            </w:r>
          </w:p>
        </w:tc>
        <w:tc>
          <w:tcPr>
            <w:tcW w:w="1700" w:type="dxa"/>
            <w:vAlign w:val="center"/>
          </w:tcPr>
          <w:p w14:paraId="03E33B5E">
            <w:pPr>
              <w:ind w:left="-90"/>
              <w:jc w:val="center"/>
              <w:rPr>
                <w:rFonts w:eastAsia="仿宋"/>
                <w:szCs w:val="21"/>
              </w:rPr>
            </w:pPr>
            <w:r>
              <w:rPr>
                <w:rFonts w:eastAsia="仿宋"/>
                <w:szCs w:val="21"/>
              </w:rPr>
              <w:t>±1.5</w:t>
            </w:r>
          </w:p>
        </w:tc>
        <w:tc>
          <w:tcPr>
            <w:tcW w:w="1700" w:type="dxa"/>
            <w:vAlign w:val="center"/>
          </w:tcPr>
          <w:p w14:paraId="3F6929A4">
            <w:pPr>
              <w:ind w:left="-90"/>
              <w:jc w:val="center"/>
              <w:rPr>
                <w:rFonts w:eastAsia="仿宋"/>
                <w:szCs w:val="21"/>
              </w:rPr>
            </w:pPr>
            <w:r>
              <w:rPr>
                <w:rFonts w:eastAsia="仿宋"/>
                <w:szCs w:val="21"/>
              </w:rPr>
              <w:t>±0.5</w:t>
            </w:r>
          </w:p>
        </w:tc>
        <w:tc>
          <w:tcPr>
            <w:tcW w:w="4202" w:type="dxa"/>
            <w:vAlign w:val="center"/>
          </w:tcPr>
          <w:p w14:paraId="406F3DAA">
            <w:pPr>
              <w:ind w:left="-90"/>
              <w:jc w:val="center"/>
              <w:rPr>
                <w:rFonts w:eastAsia="仿宋"/>
                <w:szCs w:val="21"/>
              </w:rPr>
            </w:pPr>
            <w:r>
              <w:rPr>
                <w:rFonts w:hint="eastAsia" w:eastAsia="仿宋"/>
                <w:szCs w:val="21"/>
              </w:rPr>
              <w:t>闸室、闸首</w:t>
            </w:r>
          </w:p>
        </w:tc>
      </w:tr>
      <w:tr w14:paraId="51D1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766" w:type="dxa"/>
            <w:vAlign w:val="center"/>
          </w:tcPr>
          <w:p w14:paraId="5FB9AE2C">
            <w:pPr>
              <w:ind w:left="-90"/>
              <w:jc w:val="center"/>
              <w:rPr>
                <w:rFonts w:eastAsia="仿宋"/>
                <w:szCs w:val="21"/>
              </w:rPr>
            </w:pPr>
            <w:r>
              <w:rPr>
                <w:rFonts w:eastAsia="仿宋"/>
                <w:szCs w:val="21"/>
              </w:rPr>
              <w:t>二等</w:t>
            </w:r>
          </w:p>
        </w:tc>
        <w:tc>
          <w:tcPr>
            <w:tcW w:w="1700" w:type="dxa"/>
            <w:vAlign w:val="center"/>
          </w:tcPr>
          <w:p w14:paraId="715BA785">
            <w:pPr>
              <w:ind w:left="-90"/>
              <w:jc w:val="center"/>
              <w:rPr>
                <w:rFonts w:eastAsia="仿宋"/>
                <w:szCs w:val="21"/>
              </w:rPr>
            </w:pPr>
            <w:r>
              <w:rPr>
                <w:rFonts w:eastAsia="仿宋"/>
                <w:szCs w:val="21"/>
              </w:rPr>
              <w:t>±3.0</w:t>
            </w:r>
          </w:p>
        </w:tc>
        <w:tc>
          <w:tcPr>
            <w:tcW w:w="1700" w:type="dxa"/>
            <w:vAlign w:val="center"/>
          </w:tcPr>
          <w:p w14:paraId="64369BD7">
            <w:pPr>
              <w:ind w:left="-90"/>
              <w:jc w:val="center"/>
              <w:rPr>
                <w:rFonts w:eastAsia="仿宋"/>
                <w:szCs w:val="21"/>
              </w:rPr>
            </w:pPr>
            <w:r>
              <w:rPr>
                <w:rFonts w:eastAsia="仿宋"/>
                <w:szCs w:val="21"/>
              </w:rPr>
              <w:t>±1.0</w:t>
            </w:r>
          </w:p>
        </w:tc>
        <w:tc>
          <w:tcPr>
            <w:tcW w:w="4202" w:type="dxa"/>
            <w:vAlign w:val="center"/>
          </w:tcPr>
          <w:p w14:paraId="1E057122">
            <w:pPr>
              <w:ind w:left="-90"/>
              <w:jc w:val="center"/>
              <w:rPr>
                <w:rFonts w:eastAsia="仿宋"/>
                <w:szCs w:val="21"/>
              </w:rPr>
            </w:pPr>
            <w:r>
              <w:rPr>
                <w:rFonts w:hint="eastAsia" w:eastAsia="仿宋"/>
                <w:szCs w:val="21"/>
              </w:rPr>
              <w:t>导航墙、靠船墩</w:t>
            </w:r>
          </w:p>
        </w:tc>
      </w:tr>
      <w:tr w14:paraId="085A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766" w:type="dxa"/>
            <w:vAlign w:val="center"/>
          </w:tcPr>
          <w:p w14:paraId="7A97AD43">
            <w:pPr>
              <w:ind w:left="-90"/>
              <w:jc w:val="center"/>
              <w:rPr>
                <w:rFonts w:eastAsia="仿宋"/>
                <w:szCs w:val="21"/>
              </w:rPr>
            </w:pPr>
            <w:r>
              <w:rPr>
                <w:rFonts w:eastAsia="仿宋"/>
                <w:szCs w:val="21"/>
              </w:rPr>
              <w:t>三等</w:t>
            </w:r>
          </w:p>
        </w:tc>
        <w:tc>
          <w:tcPr>
            <w:tcW w:w="1700" w:type="dxa"/>
            <w:vAlign w:val="center"/>
          </w:tcPr>
          <w:p w14:paraId="27DEDC20">
            <w:pPr>
              <w:ind w:left="-90"/>
              <w:jc w:val="center"/>
              <w:rPr>
                <w:rFonts w:eastAsia="仿宋"/>
                <w:szCs w:val="21"/>
              </w:rPr>
            </w:pPr>
            <w:r>
              <w:rPr>
                <w:rFonts w:eastAsia="仿宋"/>
                <w:szCs w:val="21"/>
              </w:rPr>
              <w:t>±6.0</w:t>
            </w:r>
          </w:p>
        </w:tc>
        <w:tc>
          <w:tcPr>
            <w:tcW w:w="1700" w:type="dxa"/>
            <w:vAlign w:val="center"/>
          </w:tcPr>
          <w:p w14:paraId="2BAF89F9">
            <w:pPr>
              <w:ind w:left="-90"/>
              <w:jc w:val="center"/>
              <w:rPr>
                <w:rFonts w:eastAsia="仿宋"/>
                <w:szCs w:val="21"/>
              </w:rPr>
            </w:pPr>
            <w:r>
              <w:rPr>
                <w:rFonts w:eastAsia="仿宋"/>
                <w:szCs w:val="21"/>
              </w:rPr>
              <w:t>±2.0</w:t>
            </w:r>
          </w:p>
        </w:tc>
        <w:tc>
          <w:tcPr>
            <w:tcW w:w="4202" w:type="dxa"/>
            <w:vAlign w:val="center"/>
          </w:tcPr>
          <w:p w14:paraId="084CE0D7">
            <w:pPr>
              <w:ind w:left="-90"/>
              <w:jc w:val="center"/>
              <w:rPr>
                <w:rFonts w:eastAsia="仿宋"/>
                <w:szCs w:val="21"/>
              </w:rPr>
            </w:pPr>
            <w:r>
              <w:rPr>
                <w:rFonts w:hint="eastAsia" w:eastAsia="仿宋"/>
                <w:szCs w:val="21"/>
              </w:rPr>
              <w:t>码头</w:t>
            </w:r>
          </w:p>
        </w:tc>
      </w:tr>
      <w:tr w14:paraId="159B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66" w:type="dxa"/>
            <w:vAlign w:val="center"/>
          </w:tcPr>
          <w:p w14:paraId="0985B6A7">
            <w:pPr>
              <w:jc w:val="center"/>
              <w:rPr>
                <w:rFonts w:eastAsia="仿宋"/>
                <w:szCs w:val="21"/>
              </w:rPr>
            </w:pPr>
            <w:r>
              <w:rPr>
                <w:rFonts w:eastAsia="仿宋"/>
                <w:szCs w:val="21"/>
              </w:rPr>
              <w:t>四等</w:t>
            </w:r>
          </w:p>
        </w:tc>
        <w:tc>
          <w:tcPr>
            <w:tcW w:w="1700" w:type="dxa"/>
            <w:vAlign w:val="center"/>
          </w:tcPr>
          <w:p w14:paraId="69BCD0F3">
            <w:pPr>
              <w:jc w:val="center"/>
              <w:rPr>
                <w:rFonts w:eastAsia="仿宋"/>
                <w:szCs w:val="21"/>
              </w:rPr>
            </w:pPr>
            <w:r>
              <w:rPr>
                <w:rFonts w:eastAsia="仿宋"/>
                <w:szCs w:val="21"/>
              </w:rPr>
              <w:t>±12.0</w:t>
            </w:r>
          </w:p>
        </w:tc>
        <w:tc>
          <w:tcPr>
            <w:tcW w:w="1700" w:type="dxa"/>
            <w:vAlign w:val="center"/>
          </w:tcPr>
          <w:p w14:paraId="0BA8E188">
            <w:pPr>
              <w:jc w:val="center"/>
              <w:rPr>
                <w:rFonts w:eastAsia="仿宋"/>
                <w:szCs w:val="21"/>
              </w:rPr>
            </w:pPr>
            <w:r>
              <w:rPr>
                <w:rFonts w:eastAsia="仿宋"/>
                <w:szCs w:val="21"/>
              </w:rPr>
              <w:t>±4.0</w:t>
            </w:r>
          </w:p>
        </w:tc>
        <w:tc>
          <w:tcPr>
            <w:tcW w:w="4202" w:type="dxa"/>
            <w:vAlign w:val="center"/>
          </w:tcPr>
          <w:p w14:paraId="68E0DD6B">
            <w:pPr>
              <w:ind w:left="-90"/>
              <w:jc w:val="center"/>
              <w:rPr>
                <w:rFonts w:eastAsia="仿宋"/>
                <w:szCs w:val="21"/>
              </w:rPr>
            </w:pPr>
            <w:r>
              <w:rPr>
                <w:rFonts w:hint="eastAsia" w:eastAsia="仿宋"/>
                <w:szCs w:val="21"/>
              </w:rPr>
              <w:t>护岸、岸坡</w:t>
            </w:r>
          </w:p>
        </w:tc>
      </w:tr>
    </w:tbl>
    <w:p w14:paraId="0146E47C">
      <w:pPr>
        <w:adjustRightInd w:val="0"/>
        <w:snapToGrid w:val="0"/>
        <w:spacing w:before="156" w:beforeLines="50" w:line="360" w:lineRule="auto"/>
        <w:rPr>
          <w:rFonts w:eastAsia="仿宋"/>
          <w:sz w:val="18"/>
          <w:szCs w:val="18"/>
        </w:rPr>
      </w:pPr>
      <w:r>
        <w:rPr>
          <w:rFonts w:eastAsia="仿宋"/>
          <w:sz w:val="18"/>
          <w:szCs w:val="18"/>
        </w:rPr>
        <w:t>注①：当水平位移变形测量用坐标向量表示时，向量中误差为表中相应等级点位中误差的1/</w:t>
      </w:r>
      <m:oMath>
        <m:rad>
          <m:radPr>
            <m:degHide m:val="1"/>
            <m:ctrlPr>
              <w:rPr>
                <w:rFonts w:ascii="Cambria Math" w:hAnsi="Cambria Math" w:eastAsia="仿宋"/>
                <w:sz w:val="18"/>
                <w:szCs w:val="18"/>
              </w:rPr>
            </m:ctrlPr>
          </m:radPr>
          <m:deg>
            <m:ctrlPr>
              <w:rPr>
                <w:rFonts w:ascii="Cambria Math" w:hAnsi="Cambria Math" w:eastAsia="仿宋"/>
                <w:sz w:val="18"/>
                <w:szCs w:val="18"/>
              </w:rPr>
            </m:ctrlPr>
          </m:deg>
          <m:e>
            <m:r>
              <m:rPr/>
              <w:rPr>
                <w:rFonts w:ascii="Cambria Math" w:hAnsi="Cambria Math" w:eastAsia="仿宋"/>
                <w:sz w:val="18"/>
                <w:szCs w:val="18"/>
              </w:rPr>
              <m:t>2</m:t>
            </m:r>
            <m:ctrlPr>
              <w:rPr>
                <w:rFonts w:ascii="Cambria Math" w:hAnsi="Cambria Math" w:eastAsia="仿宋"/>
                <w:sz w:val="18"/>
                <w:szCs w:val="18"/>
              </w:rPr>
            </m:ctrlPr>
          </m:e>
        </m:rad>
      </m:oMath>
      <w:r>
        <w:rPr>
          <w:rFonts w:eastAsia="仿宋"/>
          <w:sz w:val="18"/>
          <w:szCs w:val="18"/>
        </w:rPr>
        <w:t>；</w:t>
      </w:r>
    </w:p>
    <w:p w14:paraId="17B8243E">
      <w:pPr>
        <w:adjustRightInd w:val="0"/>
        <w:snapToGrid w:val="0"/>
        <w:spacing w:line="360" w:lineRule="auto"/>
        <w:ind w:firstLine="180" w:firstLineChars="100"/>
        <w:rPr>
          <w:rFonts w:eastAsia="仿宋"/>
          <w:sz w:val="18"/>
          <w:szCs w:val="18"/>
        </w:rPr>
      </w:pPr>
      <w:r>
        <w:rPr>
          <w:rFonts w:eastAsia="仿宋"/>
          <w:sz w:val="18"/>
          <w:szCs w:val="18"/>
        </w:rPr>
        <w:t>②：沉降观测，可根据需要按变形观测点的高程中误差或相邻变形观测点高差中误差确定测量等级。</w:t>
      </w:r>
    </w:p>
    <w:p w14:paraId="0E532509">
      <w:pPr>
        <w:spacing w:line="360" w:lineRule="auto"/>
        <w:jc w:val="center"/>
        <w:rPr>
          <w:rFonts w:eastAsia="仿宋"/>
          <w:b/>
          <w:bCs/>
          <w:kern w:val="0"/>
          <w:szCs w:val="21"/>
        </w:rPr>
      </w:pPr>
      <w:r>
        <w:rPr>
          <w:rFonts w:eastAsia="仿宋"/>
          <w:b/>
          <w:bCs/>
          <w:kern w:val="0"/>
          <w:szCs w:val="21"/>
        </w:rPr>
        <w:t>表2 垂直位移观测方法及精度</w:t>
      </w:r>
    </w:p>
    <w:tbl>
      <w:tblPr>
        <w:tblStyle w:val="5"/>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5851"/>
        <w:gridCol w:w="1840"/>
      </w:tblGrid>
      <w:tr w14:paraId="4C3B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37" w:type="dxa"/>
            <w:vAlign w:val="center"/>
          </w:tcPr>
          <w:p w14:paraId="26C08654">
            <w:pPr>
              <w:ind w:left="-90"/>
              <w:jc w:val="center"/>
              <w:rPr>
                <w:rFonts w:eastAsia="仿宋"/>
                <w:b/>
                <w:bCs/>
                <w:szCs w:val="21"/>
              </w:rPr>
            </w:pPr>
            <w:r>
              <w:rPr>
                <w:rFonts w:eastAsia="仿宋"/>
                <w:b/>
                <w:bCs/>
                <w:szCs w:val="21"/>
              </w:rPr>
              <w:t>等级</w:t>
            </w:r>
          </w:p>
        </w:tc>
        <w:tc>
          <w:tcPr>
            <w:tcW w:w="5851" w:type="dxa"/>
            <w:vAlign w:val="center"/>
          </w:tcPr>
          <w:p w14:paraId="42EDFB40">
            <w:pPr>
              <w:ind w:left="-90"/>
              <w:jc w:val="center"/>
              <w:rPr>
                <w:rFonts w:eastAsia="仿宋"/>
                <w:b/>
                <w:bCs/>
                <w:szCs w:val="21"/>
              </w:rPr>
            </w:pPr>
            <w:r>
              <w:rPr>
                <w:rFonts w:eastAsia="仿宋"/>
                <w:b/>
                <w:bCs/>
                <w:szCs w:val="21"/>
              </w:rPr>
              <w:t>观测方法要求</w:t>
            </w:r>
          </w:p>
        </w:tc>
        <w:tc>
          <w:tcPr>
            <w:tcW w:w="1840" w:type="dxa"/>
            <w:vAlign w:val="center"/>
          </w:tcPr>
          <w:p w14:paraId="3ECCA752">
            <w:pPr>
              <w:ind w:left="-90"/>
              <w:jc w:val="center"/>
              <w:rPr>
                <w:rFonts w:eastAsia="仿宋"/>
                <w:b/>
                <w:bCs/>
                <w:szCs w:val="21"/>
              </w:rPr>
            </w:pPr>
            <w:r>
              <w:rPr>
                <w:rFonts w:eastAsia="仿宋"/>
                <w:b/>
                <w:bCs/>
                <w:szCs w:val="21"/>
              </w:rPr>
              <w:t>往返较差、附合或环线闭合差（mm）</w:t>
            </w:r>
          </w:p>
        </w:tc>
      </w:tr>
      <w:tr w14:paraId="343A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837" w:type="dxa"/>
            <w:vAlign w:val="center"/>
          </w:tcPr>
          <w:p w14:paraId="2C61B473">
            <w:pPr>
              <w:ind w:left="-90"/>
              <w:jc w:val="center"/>
              <w:rPr>
                <w:rFonts w:eastAsia="仿宋"/>
                <w:szCs w:val="21"/>
              </w:rPr>
            </w:pPr>
            <w:r>
              <w:rPr>
                <w:rFonts w:eastAsia="仿宋"/>
                <w:szCs w:val="21"/>
              </w:rPr>
              <w:t>一等</w:t>
            </w:r>
          </w:p>
        </w:tc>
        <w:tc>
          <w:tcPr>
            <w:tcW w:w="5851" w:type="dxa"/>
            <w:vAlign w:val="center"/>
          </w:tcPr>
          <w:p w14:paraId="3B545AAC">
            <w:pPr>
              <w:ind w:left="-90"/>
              <w:jc w:val="left"/>
              <w:rPr>
                <w:rFonts w:eastAsia="仿宋"/>
                <w:szCs w:val="21"/>
              </w:rPr>
            </w:pPr>
            <w:r>
              <w:rPr>
                <w:rFonts w:eastAsia="仿宋"/>
                <w:szCs w:val="21"/>
              </w:rPr>
              <w:t>可采用国家一等水准精度(设双转点，视线≤15m，前后视距差≤0.3m，视距累积差≤1.5m)。精密液体静力水准测量、微水准测量等</w:t>
            </w:r>
          </w:p>
        </w:tc>
        <w:tc>
          <w:tcPr>
            <w:tcW w:w="1840" w:type="dxa"/>
            <w:vAlign w:val="center"/>
          </w:tcPr>
          <w:p w14:paraId="2E27497C">
            <w:pPr>
              <w:ind w:left="-90"/>
              <w:jc w:val="center"/>
              <w:rPr>
                <w:rFonts w:eastAsia="仿宋"/>
                <w:szCs w:val="21"/>
              </w:rPr>
            </w:pPr>
            <w:r>
              <w:rPr>
                <w:rFonts w:eastAsia="仿宋"/>
                <w:szCs w:val="21"/>
              </w:rPr>
              <w:t>≤0.15</w:t>
            </w:r>
            <m:oMath>
              <m:rad>
                <m:radPr>
                  <m:degHide m:val="1"/>
                  <m:ctrlPr>
                    <w:rPr>
                      <w:rFonts w:ascii="Cambria Math" w:hAnsi="Cambria Math" w:eastAsia="仿宋"/>
                      <w:szCs w:val="21"/>
                    </w:rPr>
                  </m:ctrlPr>
                </m:radPr>
                <m:deg>
                  <m:ctrlPr>
                    <w:rPr>
                      <w:rFonts w:ascii="Cambria Math" w:hAnsi="Cambria Math" w:eastAsia="仿宋"/>
                      <w:szCs w:val="21"/>
                    </w:rPr>
                  </m:ctrlPr>
                </m:deg>
                <m:e>
                  <m:r>
                    <m:rPr>
                      <m:sty m:val="p"/>
                    </m:rPr>
                    <w:rPr>
                      <w:rFonts w:ascii="Cambria Math" w:hAnsi="Cambria Math" w:eastAsia="仿宋"/>
                      <w:szCs w:val="21"/>
                    </w:rPr>
                    <m:t>n</m:t>
                  </m:r>
                  <m:ctrlPr>
                    <w:rPr>
                      <w:rFonts w:ascii="Cambria Math" w:hAnsi="Cambria Math" w:eastAsia="仿宋"/>
                      <w:szCs w:val="21"/>
                    </w:rPr>
                  </m:ctrlPr>
                </m:e>
              </m:rad>
            </m:oMath>
          </w:p>
        </w:tc>
      </w:tr>
      <w:tr w14:paraId="207F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837" w:type="dxa"/>
            <w:vAlign w:val="center"/>
          </w:tcPr>
          <w:p w14:paraId="50F3A7F1">
            <w:pPr>
              <w:ind w:left="-90"/>
              <w:jc w:val="center"/>
              <w:rPr>
                <w:rFonts w:eastAsia="仿宋"/>
                <w:szCs w:val="21"/>
              </w:rPr>
            </w:pPr>
            <w:r>
              <w:rPr>
                <w:rFonts w:eastAsia="仿宋"/>
                <w:szCs w:val="21"/>
              </w:rPr>
              <w:t>二等</w:t>
            </w:r>
          </w:p>
        </w:tc>
        <w:tc>
          <w:tcPr>
            <w:tcW w:w="5851" w:type="dxa"/>
            <w:vAlign w:val="center"/>
          </w:tcPr>
          <w:p w14:paraId="2E7EB74C">
            <w:pPr>
              <w:ind w:left="-90"/>
              <w:jc w:val="left"/>
              <w:rPr>
                <w:rFonts w:eastAsia="仿宋"/>
                <w:szCs w:val="21"/>
              </w:rPr>
            </w:pPr>
            <w:r>
              <w:rPr>
                <w:rFonts w:eastAsia="仿宋"/>
                <w:szCs w:val="21"/>
              </w:rPr>
              <w:t>采用国家一等水准测量和精密液体静力水准测量</w:t>
            </w:r>
          </w:p>
        </w:tc>
        <w:tc>
          <w:tcPr>
            <w:tcW w:w="1840" w:type="dxa"/>
            <w:vAlign w:val="center"/>
          </w:tcPr>
          <w:p w14:paraId="4E4AA3EB">
            <w:pPr>
              <w:ind w:left="-90"/>
              <w:jc w:val="center"/>
              <w:rPr>
                <w:rFonts w:eastAsia="仿宋"/>
                <w:szCs w:val="21"/>
              </w:rPr>
            </w:pPr>
            <w:r>
              <w:rPr>
                <w:rFonts w:eastAsia="仿宋"/>
                <w:szCs w:val="21"/>
              </w:rPr>
              <w:t>≤0.30</w:t>
            </w:r>
            <m:oMath>
              <m:rad>
                <m:radPr>
                  <m:degHide m:val="1"/>
                  <m:ctrlPr>
                    <w:rPr>
                      <w:rFonts w:ascii="Cambria Math" w:hAnsi="Cambria Math" w:eastAsia="仿宋"/>
                      <w:szCs w:val="21"/>
                    </w:rPr>
                  </m:ctrlPr>
                </m:radPr>
                <m:deg>
                  <m:ctrlPr>
                    <w:rPr>
                      <w:rFonts w:ascii="Cambria Math" w:hAnsi="Cambria Math" w:eastAsia="仿宋"/>
                      <w:szCs w:val="21"/>
                    </w:rPr>
                  </m:ctrlPr>
                </m:deg>
                <m:e>
                  <m:r>
                    <m:rPr>
                      <m:sty m:val="p"/>
                    </m:rPr>
                    <w:rPr>
                      <w:rFonts w:ascii="Cambria Math" w:hAnsi="Cambria Math" w:eastAsia="仿宋"/>
                      <w:szCs w:val="21"/>
                    </w:rPr>
                    <m:t>n</m:t>
                  </m:r>
                  <m:ctrlPr>
                    <w:rPr>
                      <w:rFonts w:ascii="Cambria Math" w:hAnsi="Cambria Math" w:eastAsia="仿宋"/>
                      <w:szCs w:val="21"/>
                    </w:rPr>
                  </m:ctrlPr>
                </m:e>
              </m:rad>
            </m:oMath>
          </w:p>
        </w:tc>
      </w:tr>
      <w:tr w14:paraId="4BB3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837" w:type="dxa"/>
            <w:vAlign w:val="center"/>
          </w:tcPr>
          <w:p w14:paraId="4E1BF020">
            <w:pPr>
              <w:ind w:left="-90"/>
              <w:jc w:val="center"/>
              <w:rPr>
                <w:rFonts w:eastAsia="仿宋"/>
                <w:szCs w:val="21"/>
              </w:rPr>
            </w:pPr>
            <w:r>
              <w:rPr>
                <w:rFonts w:eastAsia="仿宋"/>
                <w:szCs w:val="21"/>
              </w:rPr>
              <w:t>三等</w:t>
            </w:r>
          </w:p>
        </w:tc>
        <w:tc>
          <w:tcPr>
            <w:tcW w:w="5851" w:type="dxa"/>
            <w:vAlign w:val="center"/>
          </w:tcPr>
          <w:p w14:paraId="20D7D64A">
            <w:pPr>
              <w:ind w:left="-90"/>
              <w:jc w:val="left"/>
              <w:rPr>
                <w:rFonts w:eastAsia="仿宋"/>
                <w:szCs w:val="21"/>
              </w:rPr>
            </w:pPr>
            <w:r>
              <w:rPr>
                <w:rFonts w:eastAsia="仿宋"/>
                <w:szCs w:val="21"/>
              </w:rPr>
              <w:t>按《工程测量规范》(GB50026)二等水准测量和液体水准测量进行</w:t>
            </w:r>
          </w:p>
        </w:tc>
        <w:tc>
          <w:tcPr>
            <w:tcW w:w="1840" w:type="dxa"/>
            <w:vAlign w:val="center"/>
          </w:tcPr>
          <w:p w14:paraId="1344A67C">
            <w:pPr>
              <w:ind w:left="-90"/>
              <w:jc w:val="center"/>
              <w:rPr>
                <w:rFonts w:eastAsia="仿宋"/>
                <w:szCs w:val="21"/>
              </w:rPr>
            </w:pPr>
            <w:r>
              <w:rPr>
                <w:rFonts w:eastAsia="仿宋"/>
                <w:szCs w:val="21"/>
              </w:rPr>
              <w:t>≤0.60</w:t>
            </w:r>
            <m:oMath>
              <m:rad>
                <m:radPr>
                  <m:degHide m:val="1"/>
                  <m:ctrlPr>
                    <w:rPr>
                      <w:rFonts w:ascii="Cambria Math" w:hAnsi="Cambria Math" w:eastAsia="仿宋"/>
                      <w:szCs w:val="21"/>
                    </w:rPr>
                  </m:ctrlPr>
                </m:radPr>
                <m:deg>
                  <m:ctrlPr>
                    <w:rPr>
                      <w:rFonts w:ascii="Cambria Math" w:hAnsi="Cambria Math" w:eastAsia="仿宋"/>
                      <w:szCs w:val="21"/>
                    </w:rPr>
                  </m:ctrlPr>
                </m:deg>
                <m:e>
                  <m:r>
                    <m:rPr>
                      <m:sty m:val="p"/>
                    </m:rPr>
                    <w:rPr>
                      <w:rFonts w:ascii="Cambria Math" w:hAnsi="Cambria Math" w:eastAsia="仿宋"/>
                      <w:szCs w:val="21"/>
                    </w:rPr>
                    <m:t>n</m:t>
                  </m:r>
                  <m:ctrlPr>
                    <w:rPr>
                      <w:rFonts w:ascii="Cambria Math" w:hAnsi="Cambria Math" w:eastAsia="仿宋"/>
                      <w:szCs w:val="21"/>
                    </w:rPr>
                  </m:ctrlPr>
                </m:e>
              </m:rad>
            </m:oMath>
          </w:p>
        </w:tc>
      </w:tr>
      <w:tr w14:paraId="430E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37" w:type="dxa"/>
            <w:vAlign w:val="center"/>
          </w:tcPr>
          <w:p w14:paraId="4285D128">
            <w:pPr>
              <w:ind w:left="-90"/>
              <w:jc w:val="center"/>
              <w:rPr>
                <w:rFonts w:eastAsia="仿宋"/>
                <w:szCs w:val="21"/>
              </w:rPr>
            </w:pPr>
            <w:r>
              <w:rPr>
                <w:rFonts w:eastAsia="仿宋"/>
                <w:szCs w:val="21"/>
              </w:rPr>
              <w:t>四等</w:t>
            </w:r>
          </w:p>
        </w:tc>
        <w:tc>
          <w:tcPr>
            <w:tcW w:w="5851" w:type="dxa"/>
            <w:vAlign w:val="center"/>
          </w:tcPr>
          <w:p w14:paraId="22B5B6E9">
            <w:pPr>
              <w:ind w:left="-90"/>
              <w:jc w:val="left"/>
              <w:rPr>
                <w:rFonts w:eastAsia="仿宋"/>
                <w:szCs w:val="21"/>
              </w:rPr>
            </w:pPr>
            <w:r>
              <w:rPr>
                <w:rFonts w:eastAsia="仿宋"/>
                <w:szCs w:val="21"/>
              </w:rPr>
              <w:t>按《工程测量规范》(GB50026)三等水准测量和短视线三角高程测量进行。</w:t>
            </w:r>
          </w:p>
        </w:tc>
        <w:tc>
          <w:tcPr>
            <w:tcW w:w="1840" w:type="dxa"/>
            <w:vAlign w:val="center"/>
          </w:tcPr>
          <w:p w14:paraId="3036D825">
            <w:pPr>
              <w:ind w:left="-90"/>
              <w:jc w:val="center"/>
              <w:rPr>
                <w:rFonts w:eastAsia="仿宋"/>
                <w:szCs w:val="21"/>
              </w:rPr>
            </w:pPr>
            <w:r>
              <w:rPr>
                <w:rFonts w:eastAsia="仿宋"/>
                <w:szCs w:val="21"/>
              </w:rPr>
              <w:t>≤1.40</w:t>
            </w:r>
            <m:oMath>
              <m:rad>
                <m:radPr>
                  <m:degHide m:val="1"/>
                  <m:ctrlPr>
                    <w:rPr>
                      <w:rFonts w:ascii="Cambria Math" w:hAnsi="Cambria Math" w:eastAsia="仿宋"/>
                      <w:szCs w:val="21"/>
                    </w:rPr>
                  </m:ctrlPr>
                </m:radPr>
                <m:deg>
                  <m:ctrlPr>
                    <w:rPr>
                      <w:rFonts w:ascii="Cambria Math" w:hAnsi="Cambria Math" w:eastAsia="仿宋"/>
                      <w:szCs w:val="21"/>
                    </w:rPr>
                  </m:ctrlPr>
                </m:deg>
                <m:e>
                  <m:r>
                    <m:rPr>
                      <m:sty m:val="p"/>
                    </m:rPr>
                    <w:rPr>
                      <w:rFonts w:ascii="Cambria Math" w:hAnsi="Cambria Math" w:eastAsia="仿宋"/>
                      <w:szCs w:val="21"/>
                    </w:rPr>
                    <m:t>n</m:t>
                  </m:r>
                  <m:ctrlPr>
                    <w:rPr>
                      <w:rFonts w:ascii="Cambria Math" w:hAnsi="Cambria Math" w:eastAsia="仿宋"/>
                      <w:szCs w:val="21"/>
                    </w:rPr>
                  </m:ctrlPr>
                </m:e>
              </m:rad>
            </m:oMath>
          </w:p>
        </w:tc>
      </w:tr>
    </w:tbl>
    <w:p w14:paraId="2AB0D753">
      <w:pPr>
        <w:adjustRightInd w:val="0"/>
        <w:snapToGrid w:val="0"/>
        <w:rPr>
          <w:rFonts w:eastAsia="仿宋"/>
          <w:sz w:val="18"/>
          <w:szCs w:val="18"/>
        </w:rPr>
      </w:pPr>
      <w:r>
        <w:rPr>
          <w:rFonts w:eastAsia="仿宋"/>
          <w:sz w:val="18"/>
          <w:szCs w:val="18"/>
        </w:rPr>
        <w:t>注①：沉降观测高差中误差应符合表7.1.4-1的规定；</w:t>
      </w:r>
    </w:p>
    <w:p w14:paraId="5D414C0A">
      <w:pPr>
        <w:adjustRightInd w:val="0"/>
        <w:snapToGrid w:val="0"/>
        <w:ind w:firstLine="180" w:firstLineChars="100"/>
        <w:rPr>
          <w:rFonts w:eastAsia="仿宋"/>
          <w:sz w:val="18"/>
          <w:szCs w:val="18"/>
        </w:rPr>
      </w:pPr>
      <w:r>
        <w:rPr>
          <w:rFonts w:eastAsia="仿宋"/>
          <w:sz w:val="18"/>
          <w:szCs w:val="18"/>
        </w:rPr>
        <w:t>②：表中n为测段的测站数。</w:t>
      </w:r>
    </w:p>
    <w:p w14:paraId="2D0F0103">
      <w:pPr>
        <w:spacing w:line="360" w:lineRule="auto"/>
        <w:jc w:val="center"/>
        <w:rPr>
          <w:rFonts w:eastAsia="仿宋"/>
          <w:b/>
          <w:bCs/>
          <w:kern w:val="0"/>
          <w:szCs w:val="21"/>
        </w:rPr>
      </w:pPr>
      <w:r>
        <w:rPr>
          <w:rFonts w:eastAsia="仿宋"/>
          <w:b/>
          <w:bCs/>
          <w:kern w:val="0"/>
          <w:szCs w:val="21"/>
        </w:rPr>
        <w:t>表3 水尺零点高程测量允许高差不符值和视线长度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3"/>
        <w:gridCol w:w="1353"/>
        <w:gridCol w:w="1098"/>
        <w:gridCol w:w="1099"/>
        <w:gridCol w:w="1099"/>
        <w:gridCol w:w="1099"/>
        <w:gridCol w:w="1427"/>
      </w:tblGrid>
      <w:tr w14:paraId="3813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1353" w:type="dxa"/>
            <w:vMerge w:val="restart"/>
            <w:vAlign w:val="center"/>
          </w:tcPr>
          <w:p w14:paraId="33A6A0B7">
            <w:pPr>
              <w:ind w:left="-90"/>
              <w:jc w:val="center"/>
              <w:rPr>
                <w:rFonts w:eastAsia="仿宋"/>
                <w:b/>
                <w:bCs/>
                <w:szCs w:val="21"/>
              </w:rPr>
            </w:pPr>
            <w:r>
              <w:rPr>
                <w:rFonts w:eastAsia="仿宋"/>
                <w:b/>
                <w:bCs/>
                <w:szCs w:val="21"/>
              </w:rPr>
              <w:t>同尺黑红面读数差（mm）</w:t>
            </w:r>
          </w:p>
        </w:tc>
        <w:tc>
          <w:tcPr>
            <w:tcW w:w="1353" w:type="dxa"/>
            <w:vMerge w:val="restart"/>
            <w:vAlign w:val="center"/>
          </w:tcPr>
          <w:p w14:paraId="1A70510B">
            <w:pPr>
              <w:ind w:left="-90"/>
              <w:jc w:val="center"/>
              <w:rPr>
                <w:rFonts w:eastAsia="仿宋"/>
                <w:b/>
                <w:bCs/>
                <w:szCs w:val="21"/>
              </w:rPr>
            </w:pPr>
            <w:r>
              <w:rPr>
                <w:rFonts w:eastAsia="仿宋"/>
                <w:b/>
                <w:bCs/>
                <w:szCs w:val="21"/>
              </w:rPr>
              <w:t>同站黑红面所测高差之差（mm）</w:t>
            </w:r>
          </w:p>
        </w:tc>
        <w:tc>
          <w:tcPr>
            <w:tcW w:w="2197" w:type="dxa"/>
            <w:gridSpan w:val="2"/>
            <w:vAlign w:val="center"/>
          </w:tcPr>
          <w:p w14:paraId="61E1CE30">
            <w:pPr>
              <w:ind w:left="-90"/>
              <w:jc w:val="center"/>
              <w:rPr>
                <w:rFonts w:eastAsia="仿宋"/>
                <w:b/>
                <w:bCs/>
                <w:szCs w:val="21"/>
              </w:rPr>
            </w:pPr>
            <w:r>
              <w:rPr>
                <w:rFonts w:eastAsia="仿宋"/>
                <w:b/>
                <w:bCs/>
                <w:szCs w:val="21"/>
              </w:rPr>
              <w:t>往返不符值（mm）</w:t>
            </w:r>
          </w:p>
        </w:tc>
        <w:tc>
          <w:tcPr>
            <w:tcW w:w="2198" w:type="dxa"/>
            <w:gridSpan w:val="2"/>
            <w:vAlign w:val="center"/>
          </w:tcPr>
          <w:p w14:paraId="2EAFF44F">
            <w:pPr>
              <w:ind w:left="-90"/>
              <w:jc w:val="center"/>
              <w:rPr>
                <w:rFonts w:eastAsia="仿宋"/>
                <w:b/>
                <w:bCs/>
                <w:szCs w:val="21"/>
              </w:rPr>
            </w:pPr>
            <w:r>
              <w:rPr>
                <w:rFonts w:eastAsia="仿宋"/>
                <w:b/>
                <w:bCs/>
                <w:szCs w:val="21"/>
              </w:rPr>
              <w:t>视线长度视距（m）</w:t>
            </w:r>
          </w:p>
        </w:tc>
        <w:tc>
          <w:tcPr>
            <w:tcW w:w="1427" w:type="dxa"/>
            <w:vMerge w:val="restart"/>
            <w:vAlign w:val="center"/>
          </w:tcPr>
          <w:p w14:paraId="2F3C519E">
            <w:pPr>
              <w:ind w:left="-90"/>
              <w:jc w:val="center"/>
              <w:rPr>
                <w:rFonts w:eastAsia="仿宋"/>
                <w:b/>
                <w:bCs/>
                <w:szCs w:val="21"/>
              </w:rPr>
            </w:pPr>
            <w:r>
              <w:rPr>
                <w:rFonts w:eastAsia="仿宋"/>
                <w:b/>
                <w:bCs/>
                <w:szCs w:val="21"/>
              </w:rPr>
              <w:t>单站前后视距不等差（m）</w:t>
            </w:r>
          </w:p>
        </w:tc>
      </w:tr>
      <w:tr w14:paraId="261D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353" w:type="dxa"/>
            <w:vMerge w:val="continue"/>
            <w:vAlign w:val="center"/>
          </w:tcPr>
          <w:p w14:paraId="6ED8AD7D">
            <w:pPr>
              <w:ind w:left="-90"/>
              <w:jc w:val="center"/>
              <w:rPr>
                <w:rFonts w:eastAsia="仿宋"/>
                <w:szCs w:val="21"/>
              </w:rPr>
            </w:pPr>
          </w:p>
        </w:tc>
        <w:tc>
          <w:tcPr>
            <w:tcW w:w="1353" w:type="dxa"/>
            <w:vMerge w:val="continue"/>
            <w:vAlign w:val="center"/>
          </w:tcPr>
          <w:p w14:paraId="09847A64">
            <w:pPr>
              <w:ind w:left="-90"/>
              <w:jc w:val="center"/>
              <w:rPr>
                <w:rFonts w:eastAsia="仿宋"/>
                <w:szCs w:val="21"/>
              </w:rPr>
            </w:pPr>
          </w:p>
        </w:tc>
        <w:tc>
          <w:tcPr>
            <w:tcW w:w="1098" w:type="dxa"/>
            <w:vAlign w:val="center"/>
          </w:tcPr>
          <w:p w14:paraId="3A580A0C">
            <w:pPr>
              <w:ind w:left="-90"/>
              <w:jc w:val="center"/>
              <w:rPr>
                <w:rFonts w:eastAsia="仿宋"/>
                <w:b/>
                <w:bCs/>
                <w:szCs w:val="21"/>
              </w:rPr>
            </w:pPr>
            <w:r>
              <w:rPr>
                <w:rFonts w:eastAsia="仿宋"/>
                <w:b/>
                <w:bCs/>
                <w:szCs w:val="21"/>
              </w:rPr>
              <w:t>不平坦</w:t>
            </w:r>
          </w:p>
        </w:tc>
        <w:tc>
          <w:tcPr>
            <w:tcW w:w="1099" w:type="dxa"/>
            <w:vAlign w:val="center"/>
          </w:tcPr>
          <w:p w14:paraId="5E863F48">
            <w:pPr>
              <w:ind w:left="-90"/>
              <w:jc w:val="center"/>
              <w:rPr>
                <w:rFonts w:eastAsia="仿宋"/>
                <w:b/>
                <w:bCs/>
                <w:szCs w:val="21"/>
              </w:rPr>
            </w:pPr>
            <w:r>
              <w:rPr>
                <w:rFonts w:eastAsia="仿宋"/>
                <w:b/>
                <w:bCs/>
                <w:szCs w:val="21"/>
              </w:rPr>
              <w:t>平坦</w:t>
            </w:r>
          </w:p>
        </w:tc>
        <w:tc>
          <w:tcPr>
            <w:tcW w:w="1099" w:type="dxa"/>
            <w:vAlign w:val="center"/>
          </w:tcPr>
          <w:p w14:paraId="5F368D96">
            <w:pPr>
              <w:ind w:left="-90"/>
              <w:jc w:val="center"/>
              <w:rPr>
                <w:rFonts w:eastAsia="仿宋"/>
                <w:b/>
                <w:bCs/>
                <w:szCs w:val="21"/>
              </w:rPr>
            </w:pPr>
            <w:r>
              <w:rPr>
                <w:rFonts w:eastAsia="仿宋"/>
                <w:b/>
                <w:bCs/>
                <w:szCs w:val="21"/>
              </w:rPr>
              <w:t>不平坦</w:t>
            </w:r>
          </w:p>
        </w:tc>
        <w:tc>
          <w:tcPr>
            <w:tcW w:w="1099" w:type="dxa"/>
            <w:vAlign w:val="center"/>
          </w:tcPr>
          <w:p w14:paraId="4AE2AAED">
            <w:pPr>
              <w:ind w:left="-90"/>
              <w:jc w:val="center"/>
              <w:rPr>
                <w:rFonts w:eastAsia="仿宋"/>
                <w:b/>
                <w:bCs/>
                <w:szCs w:val="21"/>
              </w:rPr>
            </w:pPr>
            <w:r>
              <w:rPr>
                <w:rFonts w:eastAsia="仿宋"/>
                <w:b/>
                <w:bCs/>
                <w:szCs w:val="21"/>
              </w:rPr>
              <w:t>平坦</w:t>
            </w:r>
          </w:p>
        </w:tc>
        <w:tc>
          <w:tcPr>
            <w:tcW w:w="1427" w:type="dxa"/>
            <w:vMerge w:val="continue"/>
            <w:vAlign w:val="center"/>
          </w:tcPr>
          <w:p w14:paraId="74C43477">
            <w:pPr>
              <w:ind w:left="-90"/>
              <w:jc w:val="center"/>
              <w:rPr>
                <w:rFonts w:eastAsia="仿宋"/>
                <w:szCs w:val="21"/>
              </w:rPr>
            </w:pPr>
          </w:p>
        </w:tc>
      </w:tr>
      <w:tr w14:paraId="5356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353" w:type="dxa"/>
            <w:vAlign w:val="center"/>
          </w:tcPr>
          <w:p w14:paraId="5AD3265A">
            <w:pPr>
              <w:ind w:left="-90"/>
              <w:jc w:val="center"/>
              <w:rPr>
                <w:rFonts w:eastAsia="仿宋"/>
                <w:szCs w:val="21"/>
              </w:rPr>
            </w:pPr>
            <w:r>
              <w:rPr>
                <w:rFonts w:eastAsia="仿宋"/>
                <w:szCs w:val="21"/>
              </w:rPr>
              <w:t>3</w:t>
            </w:r>
          </w:p>
        </w:tc>
        <w:tc>
          <w:tcPr>
            <w:tcW w:w="1353" w:type="dxa"/>
            <w:vAlign w:val="center"/>
          </w:tcPr>
          <w:p w14:paraId="717332D8">
            <w:pPr>
              <w:ind w:left="-90"/>
              <w:jc w:val="center"/>
              <w:rPr>
                <w:rFonts w:eastAsia="仿宋"/>
                <w:szCs w:val="21"/>
              </w:rPr>
            </w:pPr>
            <w:r>
              <w:rPr>
                <w:rFonts w:eastAsia="仿宋"/>
                <w:szCs w:val="21"/>
              </w:rPr>
              <w:t>5</w:t>
            </w:r>
          </w:p>
        </w:tc>
        <w:tc>
          <w:tcPr>
            <w:tcW w:w="1098" w:type="dxa"/>
            <w:vAlign w:val="center"/>
          </w:tcPr>
          <w:p w14:paraId="6B7274BD">
            <w:pPr>
              <w:ind w:left="-90"/>
              <w:jc w:val="center"/>
              <w:rPr>
                <w:rFonts w:eastAsia="仿宋"/>
                <w:szCs w:val="21"/>
              </w:rPr>
            </w:pPr>
            <w:r>
              <w:rPr>
                <w:rFonts w:eastAsia="仿宋"/>
                <w:szCs w:val="21"/>
              </w:rPr>
              <w:t>±3</w:t>
            </w:r>
            <m:oMath>
              <m:rad>
                <m:radPr>
                  <m:degHide m:val="1"/>
                  <m:ctrlPr>
                    <w:rPr>
                      <w:rFonts w:ascii="Cambria Math" w:hAnsi="Cambria Math" w:eastAsia="仿宋"/>
                      <w:szCs w:val="21"/>
                    </w:rPr>
                  </m:ctrlPr>
                </m:radPr>
                <m:deg>
                  <m:ctrlPr>
                    <w:rPr>
                      <w:rFonts w:ascii="Cambria Math" w:hAnsi="Cambria Math" w:eastAsia="仿宋"/>
                      <w:szCs w:val="21"/>
                    </w:rPr>
                  </m:ctrlPr>
                </m:deg>
                <m:e>
                  <m:r>
                    <m:rPr>
                      <m:sty m:val="p"/>
                    </m:rPr>
                    <w:rPr>
                      <w:rFonts w:ascii="Cambria Math" w:hAnsi="Cambria Math" w:eastAsia="仿宋"/>
                      <w:szCs w:val="21"/>
                    </w:rPr>
                    <m:t>n</m:t>
                  </m:r>
                  <m:ctrlPr>
                    <w:rPr>
                      <w:rFonts w:ascii="Cambria Math" w:hAnsi="Cambria Math" w:eastAsia="仿宋"/>
                      <w:szCs w:val="21"/>
                    </w:rPr>
                  </m:ctrlPr>
                </m:e>
              </m:rad>
            </m:oMath>
          </w:p>
        </w:tc>
        <w:tc>
          <w:tcPr>
            <w:tcW w:w="1099" w:type="dxa"/>
            <w:vAlign w:val="center"/>
          </w:tcPr>
          <w:p w14:paraId="20F562A2">
            <w:pPr>
              <w:ind w:left="-90"/>
              <w:jc w:val="center"/>
              <w:rPr>
                <w:rFonts w:eastAsia="仿宋"/>
                <w:szCs w:val="21"/>
              </w:rPr>
            </w:pPr>
            <w:r>
              <w:rPr>
                <w:rFonts w:eastAsia="仿宋"/>
                <w:szCs w:val="21"/>
              </w:rPr>
              <w:t>±4</w:t>
            </w:r>
            <m:oMath>
              <m:rad>
                <m:radPr>
                  <m:degHide m:val="1"/>
                  <m:ctrlPr>
                    <w:rPr>
                      <w:rFonts w:ascii="Cambria Math" w:hAnsi="Cambria Math" w:eastAsia="仿宋"/>
                      <w:szCs w:val="21"/>
                    </w:rPr>
                  </m:ctrlPr>
                </m:radPr>
                <m:deg>
                  <m:ctrlPr>
                    <w:rPr>
                      <w:rFonts w:ascii="Cambria Math" w:hAnsi="Cambria Math" w:eastAsia="仿宋"/>
                      <w:szCs w:val="21"/>
                    </w:rPr>
                  </m:ctrlPr>
                </m:deg>
                <m:e>
                  <m:r>
                    <m:rPr>
                      <m:sty m:val="p"/>
                    </m:rPr>
                    <w:rPr>
                      <w:rFonts w:ascii="Cambria Math" w:hAnsi="Cambria Math" w:eastAsia="仿宋"/>
                      <w:szCs w:val="21"/>
                    </w:rPr>
                    <m:t>n</m:t>
                  </m:r>
                  <m:ctrlPr>
                    <w:rPr>
                      <w:rFonts w:ascii="Cambria Math" w:hAnsi="Cambria Math" w:eastAsia="仿宋"/>
                      <w:szCs w:val="21"/>
                    </w:rPr>
                  </m:ctrlPr>
                </m:e>
              </m:rad>
            </m:oMath>
          </w:p>
        </w:tc>
        <w:tc>
          <w:tcPr>
            <w:tcW w:w="1099" w:type="dxa"/>
            <w:vAlign w:val="center"/>
          </w:tcPr>
          <w:p w14:paraId="00D5B0F4">
            <w:pPr>
              <w:ind w:left="-90"/>
              <w:jc w:val="center"/>
              <w:rPr>
                <w:rFonts w:eastAsia="仿宋"/>
                <w:szCs w:val="21"/>
              </w:rPr>
            </w:pPr>
            <w:r>
              <w:rPr>
                <w:rFonts w:eastAsia="仿宋"/>
                <w:szCs w:val="21"/>
              </w:rPr>
              <w:t>5~50</w:t>
            </w:r>
          </w:p>
        </w:tc>
        <w:tc>
          <w:tcPr>
            <w:tcW w:w="1099" w:type="dxa"/>
            <w:vAlign w:val="center"/>
          </w:tcPr>
          <w:p w14:paraId="20F23ACA">
            <w:pPr>
              <w:ind w:left="-90"/>
              <w:jc w:val="center"/>
              <w:rPr>
                <w:rFonts w:eastAsia="仿宋"/>
                <w:szCs w:val="21"/>
              </w:rPr>
            </w:pPr>
            <w:r>
              <w:rPr>
                <w:rFonts w:eastAsia="仿宋"/>
                <w:szCs w:val="21"/>
              </w:rPr>
              <w:t>50~100</w:t>
            </w:r>
          </w:p>
        </w:tc>
        <w:tc>
          <w:tcPr>
            <w:tcW w:w="1427" w:type="dxa"/>
            <w:vAlign w:val="center"/>
          </w:tcPr>
          <w:p w14:paraId="07C60911">
            <w:pPr>
              <w:ind w:left="-90"/>
              <w:jc w:val="center"/>
              <w:rPr>
                <w:rFonts w:eastAsia="仿宋"/>
                <w:szCs w:val="21"/>
              </w:rPr>
            </w:pPr>
            <w:r>
              <w:rPr>
                <w:rFonts w:eastAsia="仿宋"/>
                <w:szCs w:val="21"/>
              </w:rPr>
              <w:t>≤5</w:t>
            </w:r>
          </w:p>
        </w:tc>
      </w:tr>
    </w:tbl>
    <w:p w14:paraId="379ACE62">
      <w:pPr>
        <w:adjustRightInd w:val="0"/>
        <w:snapToGrid w:val="0"/>
        <w:rPr>
          <w:rFonts w:eastAsia="仿宋"/>
          <w:sz w:val="18"/>
          <w:szCs w:val="18"/>
        </w:rPr>
      </w:pPr>
      <w:r>
        <w:rPr>
          <w:rFonts w:eastAsia="仿宋"/>
          <w:sz w:val="18"/>
          <w:szCs w:val="18"/>
        </w:rPr>
        <w:t>注①：采用单面尺时,变换仪器高度前后所测两尺高差之差与同站黑红面所测高  差之差限差相同。</w:t>
      </w:r>
    </w:p>
    <w:p w14:paraId="48EC4B49">
      <w:pPr>
        <w:adjustRightInd w:val="0"/>
        <w:snapToGrid w:val="0"/>
        <w:ind w:firstLine="180" w:firstLineChars="100"/>
        <w:rPr>
          <w:rFonts w:eastAsia="仿宋"/>
          <w:sz w:val="18"/>
          <w:szCs w:val="18"/>
        </w:rPr>
      </w:pPr>
      <w:r>
        <w:rPr>
          <w:rFonts w:eastAsia="仿宋"/>
          <w:sz w:val="18"/>
          <w:szCs w:val="18"/>
        </w:rPr>
        <w:t>②:n为单程仪器站数。当往返站数不等时,取平均值计算。</w:t>
      </w:r>
    </w:p>
    <w:p w14:paraId="2C110683">
      <w:pPr>
        <w:adjustRightInd w:val="0"/>
        <w:snapToGrid w:val="0"/>
        <w:ind w:firstLine="180" w:firstLineChars="100"/>
        <w:rPr>
          <w:rFonts w:eastAsia="仿宋"/>
          <w:sz w:val="18"/>
          <w:szCs w:val="18"/>
        </w:rPr>
      </w:pPr>
      <w:r>
        <w:rPr>
          <w:rFonts w:eastAsia="仿宋"/>
          <w:sz w:val="18"/>
          <w:szCs w:val="18"/>
        </w:rPr>
        <w:t>③:测量过程中应注意不使前后视距不等差累积增大。</w:t>
      </w:r>
    </w:p>
    <w:p w14:paraId="2433A503">
      <w:pPr>
        <w:spacing w:line="360" w:lineRule="auto"/>
        <w:jc w:val="center"/>
        <w:rPr>
          <w:rFonts w:eastAsia="仿宋"/>
          <w:b/>
          <w:bCs/>
          <w:kern w:val="0"/>
          <w:szCs w:val="21"/>
        </w:rPr>
      </w:pPr>
      <w:r>
        <w:rPr>
          <w:rFonts w:eastAsia="仿宋"/>
          <w:b/>
          <w:bCs/>
          <w:kern w:val="0"/>
          <w:szCs w:val="21"/>
        </w:rPr>
        <w:t>表4 自记水位计允许测量误差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155C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50" w:type="pct"/>
            <w:vAlign w:val="center"/>
          </w:tcPr>
          <w:p w14:paraId="6C4E1A43">
            <w:pPr>
              <w:ind w:left="-90"/>
              <w:jc w:val="center"/>
              <w:rPr>
                <w:rFonts w:eastAsia="仿宋"/>
                <w:b/>
                <w:bCs/>
                <w:szCs w:val="21"/>
              </w:rPr>
            </w:pPr>
            <w:r>
              <w:rPr>
                <w:rFonts w:eastAsia="仿宋"/>
                <w:b/>
                <w:bCs/>
                <w:szCs w:val="21"/>
              </w:rPr>
              <w:t>水位量程</w:t>
            </w:r>
            <w:r>
              <w:rPr>
                <w:rFonts w:eastAsia="仿宋"/>
                <w:b/>
                <w:bCs/>
                <w:szCs w:val="21"/>
              </w:rPr>
              <w:sym w:font="Symbol" w:char="F044"/>
            </w:r>
            <w:r>
              <w:rPr>
                <w:rFonts w:eastAsia="仿宋"/>
                <w:b/>
                <w:bCs/>
                <w:szCs w:val="21"/>
              </w:rPr>
              <w:t>Z（m）</w:t>
            </w:r>
          </w:p>
        </w:tc>
        <w:tc>
          <w:tcPr>
            <w:tcW w:w="1250" w:type="pct"/>
            <w:vAlign w:val="center"/>
          </w:tcPr>
          <w:p w14:paraId="0B5262B2">
            <w:pPr>
              <w:ind w:left="-90"/>
              <w:jc w:val="center"/>
              <w:rPr>
                <w:rFonts w:eastAsia="仿宋"/>
                <w:szCs w:val="21"/>
              </w:rPr>
            </w:pPr>
            <w:r>
              <w:rPr>
                <w:rFonts w:eastAsia="仿宋"/>
                <w:szCs w:val="21"/>
              </w:rPr>
              <w:t>≤10</w:t>
            </w:r>
          </w:p>
        </w:tc>
        <w:tc>
          <w:tcPr>
            <w:tcW w:w="1250" w:type="pct"/>
            <w:vAlign w:val="center"/>
          </w:tcPr>
          <w:p w14:paraId="72A0FEEF">
            <w:pPr>
              <w:ind w:left="-90"/>
              <w:jc w:val="center"/>
              <w:rPr>
                <w:rFonts w:eastAsia="仿宋"/>
                <w:szCs w:val="21"/>
              </w:rPr>
            </w:pPr>
            <w:r>
              <w:rPr>
                <w:rFonts w:eastAsia="仿宋"/>
                <w:szCs w:val="21"/>
              </w:rPr>
              <w:t>10＜</w:t>
            </w:r>
            <w:r>
              <w:rPr>
                <w:rFonts w:eastAsia="仿宋"/>
                <w:szCs w:val="21"/>
              </w:rPr>
              <w:sym w:font="Symbol" w:char="F044"/>
            </w:r>
            <w:r>
              <w:rPr>
                <w:rFonts w:eastAsia="仿宋"/>
                <w:szCs w:val="21"/>
              </w:rPr>
              <w:t>Z≤15</w:t>
            </w:r>
          </w:p>
        </w:tc>
        <w:tc>
          <w:tcPr>
            <w:tcW w:w="1250" w:type="pct"/>
            <w:vAlign w:val="center"/>
          </w:tcPr>
          <w:p w14:paraId="2561007A">
            <w:pPr>
              <w:ind w:left="-90"/>
              <w:jc w:val="center"/>
              <w:rPr>
                <w:rFonts w:eastAsia="仿宋"/>
                <w:szCs w:val="21"/>
              </w:rPr>
            </w:pPr>
            <w:r>
              <w:rPr>
                <w:rFonts w:eastAsia="仿宋"/>
                <w:szCs w:val="21"/>
              </w:rPr>
              <w:t>＞10</w:t>
            </w:r>
          </w:p>
        </w:tc>
      </w:tr>
      <w:tr w14:paraId="190D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50" w:type="pct"/>
            <w:vAlign w:val="center"/>
          </w:tcPr>
          <w:p w14:paraId="05840B07">
            <w:pPr>
              <w:ind w:left="-90"/>
              <w:jc w:val="center"/>
              <w:rPr>
                <w:rFonts w:eastAsia="仿宋"/>
                <w:b/>
                <w:bCs/>
                <w:szCs w:val="21"/>
              </w:rPr>
            </w:pPr>
            <w:r>
              <w:rPr>
                <w:rFonts w:eastAsia="仿宋"/>
                <w:b/>
                <w:bCs/>
                <w:szCs w:val="21"/>
              </w:rPr>
              <w:t>综合误差（mm）</w:t>
            </w:r>
          </w:p>
        </w:tc>
        <w:tc>
          <w:tcPr>
            <w:tcW w:w="1250" w:type="pct"/>
            <w:vAlign w:val="center"/>
          </w:tcPr>
          <w:p w14:paraId="35A7AD7D">
            <w:pPr>
              <w:ind w:left="-90"/>
              <w:jc w:val="center"/>
              <w:rPr>
                <w:rFonts w:eastAsia="仿宋"/>
                <w:szCs w:val="21"/>
              </w:rPr>
            </w:pPr>
            <w:r>
              <w:rPr>
                <w:rFonts w:eastAsia="仿宋"/>
                <w:szCs w:val="21"/>
              </w:rPr>
              <w:t>2</w:t>
            </w:r>
          </w:p>
        </w:tc>
        <w:tc>
          <w:tcPr>
            <w:tcW w:w="1250" w:type="pct"/>
            <w:vAlign w:val="center"/>
          </w:tcPr>
          <w:p w14:paraId="7CB752BF">
            <w:pPr>
              <w:ind w:left="-90"/>
              <w:jc w:val="center"/>
              <w:rPr>
                <w:rFonts w:eastAsia="仿宋"/>
                <w:szCs w:val="21"/>
              </w:rPr>
            </w:pPr>
            <w:r>
              <w:rPr>
                <w:rFonts w:eastAsia="仿宋"/>
                <w:szCs w:val="21"/>
              </w:rPr>
              <w:t>2%</w:t>
            </w:r>
            <w:r>
              <w:rPr>
                <w:rFonts w:eastAsia="仿宋"/>
                <w:szCs w:val="21"/>
              </w:rPr>
              <w:sym w:font="Symbol" w:char="F044"/>
            </w:r>
            <w:r>
              <w:rPr>
                <w:rFonts w:eastAsia="仿宋"/>
                <w:szCs w:val="21"/>
              </w:rPr>
              <w:t>Z</w:t>
            </w:r>
          </w:p>
        </w:tc>
        <w:tc>
          <w:tcPr>
            <w:tcW w:w="1250" w:type="pct"/>
            <w:vAlign w:val="center"/>
          </w:tcPr>
          <w:p w14:paraId="1FEE6E63">
            <w:pPr>
              <w:ind w:left="-90"/>
              <w:jc w:val="center"/>
              <w:rPr>
                <w:rFonts w:eastAsia="仿宋"/>
                <w:szCs w:val="21"/>
              </w:rPr>
            </w:pPr>
            <w:r>
              <w:rPr>
                <w:rFonts w:eastAsia="仿宋"/>
                <w:szCs w:val="21"/>
              </w:rPr>
              <w:t>3</w:t>
            </w:r>
          </w:p>
        </w:tc>
      </w:tr>
      <w:tr w14:paraId="3CEF5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50" w:type="pct"/>
            <w:vAlign w:val="center"/>
          </w:tcPr>
          <w:p w14:paraId="3840484E">
            <w:pPr>
              <w:ind w:left="-90"/>
              <w:jc w:val="center"/>
              <w:rPr>
                <w:rFonts w:eastAsia="仿宋"/>
                <w:b/>
                <w:bCs/>
                <w:szCs w:val="21"/>
              </w:rPr>
            </w:pPr>
            <w:r>
              <w:rPr>
                <w:rFonts w:eastAsia="仿宋"/>
                <w:b/>
                <w:bCs/>
                <w:szCs w:val="21"/>
              </w:rPr>
              <w:t>室内测定保证率(%)</w:t>
            </w:r>
          </w:p>
        </w:tc>
        <w:tc>
          <w:tcPr>
            <w:tcW w:w="1250" w:type="pct"/>
            <w:vAlign w:val="center"/>
          </w:tcPr>
          <w:p w14:paraId="1522BA6C">
            <w:pPr>
              <w:ind w:left="-90"/>
              <w:jc w:val="center"/>
              <w:rPr>
                <w:rFonts w:eastAsia="仿宋"/>
                <w:szCs w:val="21"/>
              </w:rPr>
            </w:pPr>
            <w:r>
              <w:rPr>
                <w:rFonts w:eastAsia="仿宋"/>
                <w:szCs w:val="21"/>
              </w:rPr>
              <w:t>95</w:t>
            </w:r>
          </w:p>
        </w:tc>
        <w:tc>
          <w:tcPr>
            <w:tcW w:w="1250" w:type="pct"/>
            <w:vAlign w:val="center"/>
          </w:tcPr>
          <w:p w14:paraId="70566BCB">
            <w:pPr>
              <w:ind w:left="-90"/>
              <w:jc w:val="center"/>
              <w:rPr>
                <w:rFonts w:eastAsia="仿宋"/>
                <w:szCs w:val="21"/>
              </w:rPr>
            </w:pPr>
            <w:r>
              <w:rPr>
                <w:rFonts w:eastAsia="仿宋"/>
                <w:szCs w:val="21"/>
              </w:rPr>
              <w:t>95</w:t>
            </w:r>
          </w:p>
        </w:tc>
        <w:tc>
          <w:tcPr>
            <w:tcW w:w="1250" w:type="pct"/>
            <w:vAlign w:val="center"/>
          </w:tcPr>
          <w:p w14:paraId="3E722B2E">
            <w:pPr>
              <w:ind w:left="-90"/>
              <w:jc w:val="center"/>
              <w:rPr>
                <w:rFonts w:eastAsia="仿宋"/>
                <w:szCs w:val="21"/>
              </w:rPr>
            </w:pPr>
            <w:r>
              <w:rPr>
                <w:rFonts w:eastAsia="仿宋"/>
                <w:szCs w:val="21"/>
              </w:rPr>
              <w:t>95</w:t>
            </w:r>
          </w:p>
        </w:tc>
      </w:tr>
    </w:tbl>
    <w:p w14:paraId="44974AE5">
      <w:pPr>
        <w:adjustRightInd w:val="0"/>
        <w:snapToGrid w:val="0"/>
        <w:rPr>
          <w:rFonts w:eastAsia="仿宋"/>
          <w:sz w:val="18"/>
          <w:szCs w:val="18"/>
        </w:rPr>
      </w:pPr>
      <w:r>
        <w:rPr>
          <w:rFonts w:eastAsia="仿宋"/>
          <w:sz w:val="18"/>
          <w:szCs w:val="18"/>
        </w:rPr>
        <w:t>注①:表中的综合误差是指室内测试时，传感器误差、传动误差、仪器本身及其他误差综合反应的总误差。</w:t>
      </w:r>
    </w:p>
    <w:p w14:paraId="7B211E43">
      <w:pPr>
        <w:adjustRightInd w:val="0"/>
        <w:snapToGrid w:val="0"/>
        <w:ind w:firstLine="180" w:firstLineChars="100"/>
        <w:rPr>
          <w:rFonts w:eastAsia="仿宋"/>
          <w:sz w:val="18"/>
          <w:szCs w:val="18"/>
        </w:rPr>
      </w:pPr>
      <w:r>
        <w:rPr>
          <w:rFonts w:eastAsia="仿宋"/>
          <w:sz w:val="18"/>
          <w:szCs w:val="18"/>
        </w:rPr>
        <w:t>②：各栏指标是根据水位资料的精度要求,并适当考虑我国日前水文仪器制造水平面确定的。</w:t>
      </w:r>
    </w:p>
    <w:p w14:paraId="4092DFD5">
      <w:pPr>
        <w:spacing w:line="360" w:lineRule="auto"/>
        <w:ind w:firstLine="562" w:firstLineChars="200"/>
        <w:rPr>
          <w:rFonts w:eastAsia="仿宋"/>
          <w:b/>
          <w:bCs/>
          <w:kern w:val="0"/>
          <w:sz w:val="28"/>
          <w:szCs w:val="28"/>
        </w:rPr>
      </w:pPr>
      <w:r>
        <w:rPr>
          <w:rFonts w:eastAsia="仿宋"/>
          <w:b/>
          <w:bCs/>
          <w:kern w:val="0"/>
          <w:sz w:val="28"/>
          <w:szCs w:val="28"/>
        </w:rPr>
        <w:t>（3）定期检测</w:t>
      </w:r>
    </w:p>
    <w:p w14:paraId="5DA1D302">
      <w:pPr>
        <w:spacing w:line="360" w:lineRule="auto"/>
        <w:ind w:firstLine="560" w:firstLineChars="200"/>
        <w:rPr>
          <w:kern w:val="0"/>
          <w:szCs w:val="21"/>
        </w:rPr>
      </w:pPr>
      <w:r>
        <w:rPr>
          <w:rFonts w:eastAsia="仿宋"/>
          <w:kern w:val="0"/>
          <w:sz w:val="28"/>
          <w:szCs w:val="28"/>
        </w:rPr>
        <w:t>根据江苏省船闸技术状况综合检测、江苏省干线航道和船闸养护科学决策体系研究成果以及相关行业标准的要求，规定了船闸定期检测范围包括水工建筑物、闸阀门、启闭机、电气设施等。其中水工建筑物检测内容包括外观检查、钢筋混凝土各项性能参数检测、钢结构检测、渗漏检测、附属设施检测等（如表5所示）；闸阀门检测内容包括巡视检查、外形尺寸及门体跳动量检测、无损探伤检测、应力检测、锈蚀检测、涂层厚度检测、结构振动检测等（如表6所示）；启闭机检测内容包括巡视检查、液压油检测、启闭机保护功能检测、启闭力检测、锈蚀检测、涂层厚度检测、结构振动检测等（如表7所示）；电气设施检测内容包括巡视检查、变压器检测、真空断路器检测、电力电缆检测、继电保护装置检测、防雷与接地装置安全检测等（如表8所示）。同时还规定了各个检测项目的检测方法和要求。</w:t>
      </w:r>
    </w:p>
    <w:p w14:paraId="2428CB65">
      <w:pPr>
        <w:spacing w:line="360" w:lineRule="auto"/>
        <w:jc w:val="center"/>
        <w:rPr>
          <w:rFonts w:eastAsia="仿宋"/>
          <w:b/>
          <w:bCs/>
          <w:kern w:val="0"/>
          <w:szCs w:val="21"/>
        </w:rPr>
      </w:pPr>
      <w:r>
        <w:rPr>
          <w:rFonts w:eastAsia="仿宋"/>
          <w:b/>
          <w:bCs/>
          <w:kern w:val="0"/>
          <w:szCs w:val="21"/>
        </w:rPr>
        <w:t>表5 水工建筑物检测内容汇总表</w:t>
      </w:r>
    </w:p>
    <w:tbl>
      <w:tblPr>
        <w:tblStyle w:val="5"/>
        <w:tblpPr w:leftFromText="180" w:rightFromText="180" w:vertAnchor="text" w:tblpY="1"/>
        <w:tblOverlap w:val="never"/>
        <w:tblW w:w="50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0"/>
        <w:gridCol w:w="580"/>
        <w:gridCol w:w="1067"/>
        <w:gridCol w:w="5464"/>
        <w:gridCol w:w="722"/>
      </w:tblGrid>
      <w:tr w14:paraId="2411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trPr>
        <w:tc>
          <w:tcPr>
            <w:tcW w:w="328" w:type="pct"/>
            <w:vAlign w:val="center"/>
          </w:tcPr>
          <w:p w14:paraId="4C0FA919">
            <w:pPr>
              <w:adjustRightInd w:val="0"/>
              <w:snapToGrid w:val="0"/>
              <w:jc w:val="center"/>
              <w:rPr>
                <w:rFonts w:eastAsia="仿宋"/>
                <w:b/>
                <w:bCs/>
                <w:szCs w:val="21"/>
              </w:rPr>
            </w:pPr>
            <w:r>
              <w:rPr>
                <w:rFonts w:eastAsia="仿宋"/>
                <w:b/>
                <w:bCs/>
                <w:szCs w:val="21"/>
              </w:rPr>
              <w:t>序号</w:t>
            </w:r>
          </w:p>
        </w:tc>
        <w:tc>
          <w:tcPr>
            <w:tcW w:w="982" w:type="pct"/>
            <w:gridSpan w:val="2"/>
            <w:vAlign w:val="center"/>
          </w:tcPr>
          <w:p w14:paraId="0FD701E5">
            <w:pPr>
              <w:adjustRightInd w:val="0"/>
              <w:snapToGrid w:val="0"/>
              <w:jc w:val="center"/>
              <w:rPr>
                <w:rFonts w:eastAsia="仿宋"/>
                <w:b/>
                <w:bCs/>
                <w:szCs w:val="21"/>
              </w:rPr>
            </w:pPr>
            <w:r>
              <w:rPr>
                <w:rFonts w:eastAsia="仿宋"/>
                <w:b/>
                <w:bCs/>
                <w:kern w:val="0"/>
                <w:szCs w:val="21"/>
              </w:rPr>
              <w:t>项目</w:t>
            </w:r>
          </w:p>
        </w:tc>
        <w:tc>
          <w:tcPr>
            <w:tcW w:w="3258" w:type="pct"/>
            <w:vAlign w:val="center"/>
          </w:tcPr>
          <w:p w14:paraId="4670718D">
            <w:pPr>
              <w:adjustRightInd w:val="0"/>
              <w:snapToGrid w:val="0"/>
              <w:jc w:val="center"/>
              <w:rPr>
                <w:rFonts w:eastAsia="仿宋"/>
                <w:b/>
                <w:bCs/>
                <w:szCs w:val="21"/>
              </w:rPr>
            </w:pPr>
            <w:r>
              <w:rPr>
                <w:rFonts w:eastAsia="仿宋"/>
                <w:b/>
                <w:bCs/>
                <w:kern w:val="0"/>
                <w:szCs w:val="21"/>
              </w:rPr>
              <w:t>检测内容或方法</w:t>
            </w:r>
          </w:p>
        </w:tc>
        <w:tc>
          <w:tcPr>
            <w:tcW w:w="430" w:type="pct"/>
            <w:vAlign w:val="center"/>
          </w:tcPr>
          <w:p w14:paraId="62C11360">
            <w:pPr>
              <w:adjustRightInd w:val="0"/>
              <w:snapToGrid w:val="0"/>
              <w:jc w:val="center"/>
              <w:rPr>
                <w:rFonts w:eastAsia="仿宋"/>
                <w:b/>
                <w:bCs/>
                <w:kern w:val="0"/>
                <w:szCs w:val="21"/>
              </w:rPr>
            </w:pPr>
            <w:r>
              <w:rPr>
                <w:rFonts w:eastAsia="仿宋"/>
                <w:b/>
                <w:bCs/>
                <w:kern w:val="0"/>
                <w:szCs w:val="21"/>
              </w:rPr>
              <w:t>周期（年）</w:t>
            </w:r>
          </w:p>
        </w:tc>
      </w:tr>
      <w:tr w14:paraId="6381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28" w:type="pct"/>
            <w:vMerge w:val="restart"/>
            <w:vAlign w:val="center"/>
          </w:tcPr>
          <w:p w14:paraId="41D026ED">
            <w:pPr>
              <w:adjustRightInd w:val="0"/>
              <w:snapToGrid w:val="0"/>
              <w:jc w:val="center"/>
              <w:rPr>
                <w:rFonts w:eastAsia="仿宋"/>
                <w:szCs w:val="21"/>
              </w:rPr>
            </w:pPr>
            <w:r>
              <w:rPr>
                <w:rFonts w:eastAsia="仿宋"/>
                <w:szCs w:val="21"/>
              </w:rPr>
              <w:t>1</w:t>
            </w:r>
          </w:p>
        </w:tc>
        <w:tc>
          <w:tcPr>
            <w:tcW w:w="346" w:type="pct"/>
            <w:vMerge w:val="restart"/>
            <w:shd w:val="clear" w:color="auto" w:fill="auto"/>
            <w:vAlign w:val="center"/>
          </w:tcPr>
          <w:p w14:paraId="69723287">
            <w:pPr>
              <w:adjustRightInd w:val="0"/>
              <w:snapToGrid w:val="0"/>
              <w:jc w:val="center"/>
              <w:rPr>
                <w:rFonts w:eastAsia="仿宋"/>
                <w:szCs w:val="21"/>
              </w:rPr>
            </w:pPr>
            <w:r>
              <w:rPr>
                <w:rFonts w:eastAsia="仿宋"/>
                <w:kern w:val="0"/>
                <w:szCs w:val="21"/>
              </w:rPr>
              <w:t>外观检查</w:t>
            </w:r>
          </w:p>
        </w:tc>
        <w:tc>
          <w:tcPr>
            <w:tcW w:w="635" w:type="pct"/>
            <w:shd w:val="clear" w:color="auto" w:fill="auto"/>
            <w:vAlign w:val="center"/>
          </w:tcPr>
          <w:p w14:paraId="5D095C7A">
            <w:pPr>
              <w:adjustRightInd w:val="0"/>
              <w:snapToGrid w:val="0"/>
              <w:rPr>
                <w:rFonts w:eastAsia="仿宋"/>
                <w:kern w:val="0"/>
                <w:szCs w:val="21"/>
              </w:rPr>
            </w:pPr>
            <w:r>
              <w:rPr>
                <w:rFonts w:eastAsia="仿宋"/>
                <w:kern w:val="0"/>
                <w:szCs w:val="21"/>
              </w:rPr>
              <w:t>水上部分外观检查</w:t>
            </w:r>
          </w:p>
        </w:tc>
        <w:tc>
          <w:tcPr>
            <w:tcW w:w="3258" w:type="pct"/>
            <w:shd w:val="clear" w:color="auto" w:fill="auto"/>
            <w:vAlign w:val="center"/>
          </w:tcPr>
          <w:p w14:paraId="4B2DA2B0">
            <w:pPr>
              <w:autoSpaceDE w:val="0"/>
              <w:autoSpaceDN w:val="0"/>
              <w:adjustRightInd w:val="0"/>
              <w:jc w:val="left"/>
              <w:rPr>
                <w:rFonts w:eastAsia="仿宋"/>
                <w:kern w:val="0"/>
                <w:szCs w:val="21"/>
              </w:rPr>
            </w:pPr>
            <w:r>
              <w:rPr>
                <w:rFonts w:eastAsia="仿宋"/>
                <w:kern w:val="0"/>
                <w:szCs w:val="21"/>
              </w:rPr>
              <w:t>检查构件的裂缝（位置、长度、宽度和走向）、表观缺陷（包括蜂窝、麻面、露石）、混凝土起鼓（剥离）、露筋（位置、数量、长度、面积）等情况</w:t>
            </w:r>
          </w:p>
        </w:tc>
        <w:tc>
          <w:tcPr>
            <w:tcW w:w="430" w:type="pct"/>
            <w:vMerge w:val="restart"/>
            <w:vAlign w:val="center"/>
          </w:tcPr>
          <w:p w14:paraId="36C9360B">
            <w:pPr>
              <w:autoSpaceDE w:val="0"/>
              <w:autoSpaceDN w:val="0"/>
              <w:adjustRightInd w:val="0"/>
              <w:jc w:val="center"/>
              <w:rPr>
                <w:rFonts w:eastAsia="仿宋"/>
                <w:kern w:val="0"/>
                <w:szCs w:val="21"/>
              </w:rPr>
            </w:pPr>
            <w:r>
              <w:rPr>
                <w:rFonts w:hint="eastAsia" w:eastAsia="仿宋"/>
                <w:kern w:val="0"/>
                <w:szCs w:val="21"/>
              </w:rPr>
              <w:t>船闸运行时间不大于50年的每3年检测1次；</w:t>
            </w:r>
          </w:p>
          <w:p w14:paraId="488F6463">
            <w:pPr>
              <w:autoSpaceDE w:val="0"/>
              <w:autoSpaceDN w:val="0"/>
              <w:adjustRightInd w:val="0"/>
              <w:jc w:val="center"/>
              <w:rPr>
                <w:rFonts w:eastAsia="仿宋"/>
                <w:kern w:val="0"/>
                <w:szCs w:val="21"/>
              </w:rPr>
            </w:pPr>
            <w:r>
              <w:rPr>
                <w:rFonts w:hint="eastAsia" w:eastAsia="仿宋"/>
                <w:kern w:val="0"/>
                <w:szCs w:val="21"/>
              </w:rPr>
              <w:t>船闸运行时间大于50年的每1年检测1次。</w:t>
            </w:r>
          </w:p>
        </w:tc>
      </w:tr>
      <w:tr w14:paraId="1C55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28" w:type="pct"/>
            <w:vMerge w:val="continue"/>
            <w:vAlign w:val="center"/>
          </w:tcPr>
          <w:p w14:paraId="0499E1F6">
            <w:pPr>
              <w:adjustRightInd w:val="0"/>
              <w:snapToGrid w:val="0"/>
              <w:jc w:val="center"/>
              <w:rPr>
                <w:rFonts w:eastAsia="仿宋"/>
                <w:szCs w:val="21"/>
              </w:rPr>
            </w:pPr>
          </w:p>
        </w:tc>
        <w:tc>
          <w:tcPr>
            <w:tcW w:w="346" w:type="pct"/>
            <w:vMerge w:val="continue"/>
            <w:shd w:val="clear" w:color="auto" w:fill="auto"/>
            <w:vAlign w:val="center"/>
          </w:tcPr>
          <w:p w14:paraId="1E7E6047">
            <w:pPr>
              <w:adjustRightInd w:val="0"/>
              <w:snapToGrid w:val="0"/>
              <w:jc w:val="center"/>
              <w:rPr>
                <w:rFonts w:eastAsia="仿宋"/>
                <w:szCs w:val="21"/>
              </w:rPr>
            </w:pPr>
          </w:p>
        </w:tc>
        <w:tc>
          <w:tcPr>
            <w:tcW w:w="635" w:type="pct"/>
            <w:shd w:val="clear" w:color="auto" w:fill="auto"/>
            <w:vAlign w:val="center"/>
          </w:tcPr>
          <w:p w14:paraId="71404953">
            <w:pPr>
              <w:adjustRightInd w:val="0"/>
              <w:snapToGrid w:val="0"/>
              <w:rPr>
                <w:rFonts w:eastAsia="仿宋"/>
                <w:kern w:val="0"/>
                <w:szCs w:val="21"/>
              </w:rPr>
            </w:pPr>
            <w:r>
              <w:rPr>
                <w:rFonts w:eastAsia="仿宋"/>
                <w:kern w:val="0"/>
                <w:szCs w:val="21"/>
              </w:rPr>
              <w:t>水下部分外观检查</w:t>
            </w:r>
          </w:p>
        </w:tc>
        <w:tc>
          <w:tcPr>
            <w:tcW w:w="3258" w:type="pct"/>
            <w:shd w:val="clear" w:color="auto" w:fill="auto"/>
            <w:vAlign w:val="center"/>
          </w:tcPr>
          <w:p w14:paraId="4A49E492">
            <w:pPr>
              <w:adjustRightInd w:val="0"/>
              <w:snapToGrid w:val="0"/>
              <w:jc w:val="left"/>
              <w:rPr>
                <w:rFonts w:eastAsia="仿宋"/>
                <w:kern w:val="0"/>
                <w:szCs w:val="21"/>
              </w:rPr>
            </w:pPr>
            <w:r>
              <w:rPr>
                <w:rFonts w:eastAsia="仿宋"/>
                <w:kern w:val="0"/>
                <w:szCs w:val="21"/>
              </w:rPr>
              <w:t>水下结构破损情况的水下摸查和间隙及相对错位测量、水下障碍物摸查</w:t>
            </w:r>
          </w:p>
        </w:tc>
        <w:tc>
          <w:tcPr>
            <w:tcW w:w="430" w:type="pct"/>
            <w:vMerge w:val="continue"/>
            <w:tcBorders/>
            <w:vAlign w:val="center"/>
          </w:tcPr>
          <w:p w14:paraId="0FD292C7">
            <w:pPr>
              <w:adjustRightInd w:val="0"/>
              <w:snapToGrid w:val="0"/>
              <w:jc w:val="center"/>
              <w:rPr>
                <w:rFonts w:eastAsia="仿宋"/>
                <w:kern w:val="0"/>
                <w:szCs w:val="21"/>
              </w:rPr>
            </w:pPr>
          </w:p>
        </w:tc>
      </w:tr>
      <w:tr w14:paraId="58FC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28" w:type="pct"/>
            <w:vAlign w:val="center"/>
          </w:tcPr>
          <w:p w14:paraId="1ACF5ADA">
            <w:pPr>
              <w:adjustRightInd w:val="0"/>
              <w:snapToGrid w:val="0"/>
              <w:jc w:val="center"/>
              <w:rPr>
                <w:rFonts w:eastAsia="仿宋"/>
                <w:szCs w:val="21"/>
              </w:rPr>
            </w:pPr>
            <w:r>
              <w:rPr>
                <w:rFonts w:eastAsia="仿宋"/>
                <w:szCs w:val="21"/>
              </w:rPr>
              <w:t>2</w:t>
            </w:r>
          </w:p>
        </w:tc>
        <w:tc>
          <w:tcPr>
            <w:tcW w:w="982" w:type="pct"/>
            <w:gridSpan w:val="2"/>
            <w:vAlign w:val="center"/>
          </w:tcPr>
          <w:p w14:paraId="1FDD188A">
            <w:pPr>
              <w:autoSpaceDE w:val="0"/>
              <w:autoSpaceDN w:val="0"/>
              <w:adjustRightInd w:val="0"/>
              <w:jc w:val="center"/>
              <w:rPr>
                <w:rFonts w:eastAsia="仿宋"/>
                <w:kern w:val="0"/>
                <w:szCs w:val="21"/>
              </w:rPr>
            </w:pPr>
            <w:r>
              <w:rPr>
                <w:rFonts w:eastAsia="仿宋"/>
                <w:kern w:val="0"/>
                <w:szCs w:val="21"/>
              </w:rPr>
              <w:t>钢筋混凝土各项性能参数检测</w:t>
            </w:r>
          </w:p>
        </w:tc>
        <w:tc>
          <w:tcPr>
            <w:tcW w:w="3258" w:type="pct"/>
            <w:vAlign w:val="center"/>
          </w:tcPr>
          <w:p w14:paraId="00033A95">
            <w:pPr>
              <w:autoSpaceDE w:val="0"/>
              <w:autoSpaceDN w:val="0"/>
              <w:adjustRightInd w:val="0"/>
              <w:jc w:val="left"/>
              <w:rPr>
                <w:rFonts w:eastAsia="仿宋"/>
                <w:kern w:val="0"/>
                <w:szCs w:val="21"/>
              </w:rPr>
            </w:pPr>
            <w:r>
              <w:rPr>
                <w:rFonts w:eastAsia="仿宋"/>
                <w:kern w:val="0"/>
                <w:szCs w:val="21"/>
              </w:rPr>
              <w:t>混凝土性能检测包括：表观劣化情况、混凝土强度、碳化深度、内部缺陷、钢筋保护层厚度、氯离子含量</w:t>
            </w:r>
          </w:p>
          <w:p w14:paraId="16EB0E71">
            <w:pPr>
              <w:autoSpaceDE w:val="0"/>
              <w:autoSpaceDN w:val="0"/>
              <w:adjustRightInd w:val="0"/>
              <w:jc w:val="left"/>
              <w:rPr>
                <w:rFonts w:eastAsia="仿宋"/>
                <w:kern w:val="0"/>
                <w:szCs w:val="21"/>
              </w:rPr>
            </w:pPr>
            <w:r>
              <w:rPr>
                <w:rFonts w:eastAsia="仿宋"/>
                <w:kern w:val="0"/>
                <w:szCs w:val="21"/>
              </w:rPr>
              <w:t>钢筋性能的检测包括：钢筋锈蚀情况检查、钢筋腐蚀电位、锈蚀钢筋剩余有效截面等</w:t>
            </w:r>
          </w:p>
        </w:tc>
        <w:tc>
          <w:tcPr>
            <w:tcW w:w="430" w:type="pct"/>
            <w:vMerge w:val="continue"/>
            <w:tcBorders/>
            <w:vAlign w:val="center"/>
          </w:tcPr>
          <w:p w14:paraId="5295D440">
            <w:pPr>
              <w:autoSpaceDE w:val="0"/>
              <w:autoSpaceDN w:val="0"/>
              <w:adjustRightInd w:val="0"/>
              <w:jc w:val="center"/>
              <w:rPr>
                <w:rFonts w:eastAsia="仿宋"/>
                <w:kern w:val="0"/>
                <w:szCs w:val="21"/>
              </w:rPr>
            </w:pPr>
          </w:p>
        </w:tc>
      </w:tr>
      <w:tr w14:paraId="69841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28" w:type="pct"/>
            <w:vAlign w:val="center"/>
          </w:tcPr>
          <w:p w14:paraId="6A2E7D97">
            <w:pPr>
              <w:adjustRightInd w:val="0"/>
              <w:snapToGrid w:val="0"/>
              <w:jc w:val="center"/>
              <w:rPr>
                <w:rFonts w:eastAsia="仿宋"/>
                <w:szCs w:val="21"/>
              </w:rPr>
            </w:pPr>
            <w:r>
              <w:rPr>
                <w:rFonts w:eastAsia="仿宋"/>
                <w:szCs w:val="21"/>
              </w:rPr>
              <w:t>3</w:t>
            </w:r>
          </w:p>
        </w:tc>
        <w:tc>
          <w:tcPr>
            <w:tcW w:w="982" w:type="pct"/>
            <w:gridSpan w:val="2"/>
            <w:vAlign w:val="center"/>
          </w:tcPr>
          <w:p w14:paraId="1494FA07">
            <w:pPr>
              <w:jc w:val="center"/>
              <w:rPr>
                <w:rFonts w:eastAsia="仿宋"/>
                <w:color w:val="000000"/>
                <w:szCs w:val="21"/>
              </w:rPr>
            </w:pPr>
            <w:r>
              <w:rPr>
                <w:rFonts w:eastAsia="仿宋"/>
                <w:color w:val="000000"/>
                <w:szCs w:val="21"/>
              </w:rPr>
              <w:t>钢结构检测</w:t>
            </w:r>
          </w:p>
        </w:tc>
        <w:tc>
          <w:tcPr>
            <w:tcW w:w="3258" w:type="pct"/>
            <w:vAlign w:val="center"/>
          </w:tcPr>
          <w:p w14:paraId="32488ECC">
            <w:pPr>
              <w:rPr>
                <w:rFonts w:eastAsia="仿宋"/>
                <w:color w:val="000000"/>
                <w:szCs w:val="21"/>
              </w:rPr>
            </w:pPr>
            <w:r>
              <w:rPr>
                <w:rFonts w:eastAsia="仿宋"/>
                <w:color w:val="000000"/>
                <w:szCs w:val="21"/>
              </w:rPr>
              <w:t>主要检测钢结构的锈蚀状况、构件变形及防腐蚀措施。</w:t>
            </w:r>
          </w:p>
        </w:tc>
        <w:tc>
          <w:tcPr>
            <w:tcW w:w="430" w:type="pct"/>
            <w:vMerge w:val="continue"/>
            <w:tcBorders/>
            <w:vAlign w:val="center"/>
          </w:tcPr>
          <w:p w14:paraId="249B010D">
            <w:pPr>
              <w:jc w:val="center"/>
              <w:rPr>
                <w:rFonts w:eastAsia="仿宋"/>
                <w:color w:val="000000"/>
                <w:szCs w:val="21"/>
              </w:rPr>
            </w:pPr>
          </w:p>
        </w:tc>
      </w:tr>
      <w:tr w14:paraId="12D4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28" w:type="pct"/>
            <w:vAlign w:val="center"/>
          </w:tcPr>
          <w:p w14:paraId="0BF984FB">
            <w:pPr>
              <w:adjustRightInd w:val="0"/>
              <w:snapToGrid w:val="0"/>
              <w:jc w:val="center"/>
              <w:rPr>
                <w:rFonts w:eastAsia="仿宋"/>
                <w:szCs w:val="21"/>
              </w:rPr>
            </w:pPr>
            <w:r>
              <w:rPr>
                <w:rFonts w:eastAsia="仿宋"/>
                <w:szCs w:val="21"/>
              </w:rPr>
              <w:t>4</w:t>
            </w:r>
          </w:p>
        </w:tc>
        <w:tc>
          <w:tcPr>
            <w:tcW w:w="982" w:type="pct"/>
            <w:gridSpan w:val="2"/>
            <w:vAlign w:val="center"/>
          </w:tcPr>
          <w:p w14:paraId="7E6F5AE9">
            <w:pPr>
              <w:jc w:val="center"/>
              <w:rPr>
                <w:rFonts w:eastAsia="仿宋"/>
                <w:kern w:val="0"/>
                <w:szCs w:val="21"/>
              </w:rPr>
            </w:pPr>
            <w:r>
              <w:rPr>
                <w:rFonts w:eastAsia="仿宋"/>
                <w:kern w:val="0"/>
                <w:szCs w:val="21"/>
              </w:rPr>
              <w:t>渗漏检测</w:t>
            </w:r>
          </w:p>
        </w:tc>
        <w:tc>
          <w:tcPr>
            <w:tcW w:w="3258" w:type="pct"/>
            <w:vAlign w:val="center"/>
          </w:tcPr>
          <w:p w14:paraId="10FF92A9">
            <w:pPr>
              <w:adjustRightInd w:val="0"/>
              <w:snapToGrid w:val="0"/>
              <w:rPr>
                <w:rFonts w:eastAsia="仿宋"/>
                <w:kern w:val="0"/>
                <w:szCs w:val="21"/>
              </w:rPr>
            </w:pPr>
            <w:r>
              <w:rPr>
                <w:rFonts w:eastAsia="仿宋"/>
                <w:kern w:val="0"/>
                <w:szCs w:val="21"/>
              </w:rPr>
              <w:t>采用容积法、压水检查等方法检测结构缝的渗漏量和渗漏通道。</w:t>
            </w:r>
          </w:p>
        </w:tc>
        <w:tc>
          <w:tcPr>
            <w:tcW w:w="430" w:type="pct"/>
            <w:vMerge w:val="continue"/>
            <w:tcBorders/>
            <w:vAlign w:val="center"/>
          </w:tcPr>
          <w:p w14:paraId="37AA142B">
            <w:pPr>
              <w:adjustRightInd w:val="0"/>
              <w:snapToGrid w:val="0"/>
              <w:jc w:val="center"/>
              <w:rPr>
                <w:rFonts w:eastAsia="仿宋"/>
                <w:kern w:val="0"/>
                <w:szCs w:val="21"/>
              </w:rPr>
            </w:pPr>
          </w:p>
        </w:tc>
      </w:tr>
      <w:tr w14:paraId="688F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28" w:type="pct"/>
            <w:vAlign w:val="center"/>
          </w:tcPr>
          <w:p w14:paraId="7E4BA226">
            <w:pPr>
              <w:adjustRightInd w:val="0"/>
              <w:snapToGrid w:val="0"/>
              <w:jc w:val="center"/>
              <w:rPr>
                <w:rFonts w:eastAsia="仿宋"/>
                <w:szCs w:val="21"/>
              </w:rPr>
            </w:pPr>
            <w:r>
              <w:rPr>
                <w:rFonts w:eastAsia="仿宋"/>
                <w:szCs w:val="21"/>
              </w:rPr>
              <w:t>5</w:t>
            </w:r>
          </w:p>
        </w:tc>
        <w:tc>
          <w:tcPr>
            <w:tcW w:w="982" w:type="pct"/>
            <w:gridSpan w:val="2"/>
            <w:vAlign w:val="center"/>
          </w:tcPr>
          <w:p w14:paraId="369890E1">
            <w:pPr>
              <w:adjustRightInd w:val="0"/>
              <w:snapToGrid w:val="0"/>
              <w:jc w:val="center"/>
              <w:rPr>
                <w:rFonts w:eastAsia="仿宋"/>
                <w:kern w:val="0"/>
                <w:szCs w:val="21"/>
              </w:rPr>
            </w:pPr>
            <w:r>
              <w:rPr>
                <w:rFonts w:eastAsia="仿宋"/>
                <w:kern w:val="0"/>
                <w:szCs w:val="21"/>
              </w:rPr>
              <w:t>附属设施检测</w:t>
            </w:r>
          </w:p>
        </w:tc>
        <w:tc>
          <w:tcPr>
            <w:tcW w:w="3258" w:type="pct"/>
            <w:vAlign w:val="center"/>
          </w:tcPr>
          <w:p w14:paraId="15FAD1FF">
            <w:pPr>
              <w:adjustRightInd w:val="0"/>
              <w:snapToGrid w:val="0"/>
              <w:rPr>
                <w:rFonts w:eastAsia="仿宋"/>
                <w:kern w:val="0"/>
                <w:szCs w:val="21"/>
              </w:rPr>
            </w:pPr>
            <w:r>
              <w:rPr>
                <w:rFonts w:eastAsia="仿宋"/>
                <w:kern w:val="0"/>
                <w:szCs w:val="21"/>
              </w:rPr>
              <w:t>检查护舷的完整性、系船柱的锈蚀破损等附属设施情况。</w:t>
            </w:r>
          </w:p>
        </w:tc>
        <w:tc>
          <w:tcPr>
            <w:tcW w:w="430" w:type="pct"/>
            <w:vMerge w:val="continue"/>
            <w:tcBorders/>
            <w:vAlign w:val="center"/>
          </w:tcPr>
          <w:p w14:paraId="5256D756">
            <w:pPr>
              <w:adjustRightInd w:val="0"/>
              <w:snapToGrid w:val="0"/>
              <w:jc w:val="center"/>
              <w:rPr>
                <w:rFonts w:eastAsia="仿宋"/>
                <w:kern w:val="0"/>
                <w:szCs w:val="21"/>
              </w:rPr>
            </w:pPr>
          </w:p>
        </w:tc>
      </w:tr>
    </w:tbl>
    <w:p w14:paraId="734A1950">
      <w:pPr>
        <w:spacing w:line="360" w:lineRule="auto"/>
        <w:jc w:val="center"/>
        <w:rPr>
          <w:rFonts w:eastAsia="仿宋"/>
          <w:b/>
          <w:bCs/>
          <w:kern w:val="0"/>
          <w:szCs w:val="21"/>
        </w:rPr>
      </w:pPr>
      <w:r>
        <w:rPr>
          <w:rFonts w:eastAsia="仿宋"/>
          <w:b/>
          <w:bCs/>
          <w:kern w:val="0"/>
          <w:szCs w:val="21"/>
        </w:rPr>
        <w:t xml:space="preserve">表6 闸阀门检测内容汇总表 </w:t>
      </w:r>
    </w:p>
    <w:tbl>
      <w:tblPr>
        <w:tblStyle w:val="5"/>
        <w:tblpPr w:leftFromText="180" w:rightFromText="180" w:vertAnchor="text" w:tblpY="1"/>
        <w:tblOverlap w:val="never"/>
        <w:tblW w:w="50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8"/>
        <w:gridCol w:w="1576"/>
        <w:gridCol w:w="5558"/>
        <w:gridCol w:w="644"/>
      </w:tblGrid>
      <w:tr w14:paraId="6DB3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4" w:type="pct"/>
            <w:vAlign w:val="center"/>
          </w:tcPr>
          <w:p w14:paraId="7CBA07C5">
            <w:pPr>
              <w:adjustRightInd w:val="0"/>
              <w:snapToGrid w:val="0"/>
              <w:jc w:val="center"/>
              <w:rPr>
                <w:rFonts w:eastAsia="仿宋"/>
                <w:b/>
                <w:bCs/>
                <w:szCs w:val="21"/>
              </w:rPr>
            </w:pPr>
            <w:r>
              <w:rPr>
                <w:rFonts w:eastAsia="仿宋"/>
                <w:b/>
                <w:bCs/>
                <w:szCs w:val="21"/>
              </w:rPr>
              <w:t>序号</w:t>
            </w:r>
          </w:p>
        </w:tc>
        <w:tc>
          <w:tcPr>
            <w:tcW w:w="945" w:type="pct"/>
            <w:vAlign w:val="center"/>
          </w:tcPr>
          <w:p w14:paraId="07C91E8F">
            <w:pPr>
              <w:adjustRightInd w:val="0"/>
              <w:snapToGrid w:val="0"/>
              <w:jc w:val="center"/>
              <w:rPr>
                <w:rFonts w:eastAsia="仿宋"/>
                <w:b/>
                <w:bCs/>
                <w:szCs w:val="21"/>
              </w:rPr>
            </w:pPr>
            <w:r>
              <w:rPr>
                <w:rFonts w:eastAsia="仿宋"/>
                <w:b/>
                <w:bCs/>
                <w:szCs w:val="21"/>
              </w:rPr>
              <w:t>项目</w:t>
            </w:r>
          </w:p>
        </w:tc>
        <w:tc>
          <w:tcPr>
            <w:tcW w:w="3334" w:type="pct"/>
            <w:vAlign w:val="center"/>
          </w:tcPr>
          <w:p w14:paraId="49A60F84">
            <w:pPr>
              <w:adjustRightInd w:val="0"/>
              <w:snapToGrid w:val="0"/>
              <w:jc w:val="center"/>
              <w:rPr>
                <w:rFonts w:eastAsia="仿宋"/>
                <w:b/>
                <w:bCs/>
                <w:szCs w:val="21"/>
              </w:rPr>
            </w:pPr>
            <w:r>
              <w:rPr>
                <w:rFonts w:eastAsia="仿宋"/>
                <w:b/>
                <w:bCs/>
                <w:szCs w:val="21"/>
              </w:rPr>
              <w:t>检测内容或方法</w:t>
            </w:r>
          </w:p>
        </w:tc>
        <w:tc>
          <w:tcPr>
            <w:tcW w:w="386" w:type="pct"/>
          </w:tcPr>
          <w:p w14:paraId="02AE244E">
            <w:pPr>
              <w:adjustRightInd w:val="0"/>
              <w:snapToGrid w:val="0"/>
              <w:jc w:val="center"/>
              <w:rPr>
                <w:rFonts w:eastAsia="仿宋"/>
                <w:b/>
                <w:bCs/>
                <w:szCs w:val="21"/>
              </w:rPr>
            </w:pPr>
            <w:r>
              <w:rPr>
                <w:rFonts w:eastAsia="仿宋"/>
                <w:b/>
                <w:bCs/>
                <w:szCs w:val="21"/>
              </w:rPr>
              <w:t>周期（年）</w:t>
            </w:r>
          </w:p>
        </w:tc>
      </w:tr>
      <w:tr w14:paraId="6EC6D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4" w:type="pct"/>
            <w:vAlign w:val="center"/>
          </w:tcPr>
          <w:p w14:paraId="1B415EA2">
            <w:pPr>
              <w:adjustRightInd w:val="0"/>
              <w:snapToGrid w:val="0"/>
              <w:jc w:val="center"/>
              <w:rPr>
                <w:rFonts w:eastAsia="仿宋"/>
                <w:szCs w:val="21"/>
              </w:rPr>
            </w:pPr>
            <w:r>
              <w:rPr>
                <w:rFonts w:eastAsia="仿宋"/>
                <w:szCs w:val="21"/>
              </w:rPr>
              <w:t>1</w:t>
            </w:r>
          </w:p>
        </w:tc>
        <w:tc>
          <w:tcPr>
            <w:tcW w:w="945" w:type="pct"/>
            <w:shd w:val="clear" w:color="auto" w:fill="auto"/>
            <w:vAlign w:val="center"/>
          </w:tcPr>
          <w:p w14:paraId="35D82C9E">
            <w:pPr>
              <w:adjustRightInd w:val="0"/>
              <w:snapToGrid w:val="0"/>
              <w:jc w:val="center"/>
              <w:rPr>
                <w:rFonts w:eastAsia="仿宋"/>
                <w:szCs w:val="21"/>
              </w:rPr>
            </w:pPr>
            <w:r>
              <w:rPr>
                <w:rFonts w:eastAsia="仿宋"/>
                <w:szCs w:val="21"/>
              </w:rPr>
              <w:t>巡视检查</w:t>
            </w:r>
          </w:p>
        </w:tc>
        <w:tc>
          <w:tcPr>
            <w:tcW w:w="3334" w:type="pct"/>
            <w:shd w:val="clear" w:color="auto" w:fill="auto"/>
            <w:vAlign w:val="center"/>
          </w:tcPr>
          <w:p w14:paraId="413472FA">
            <w:pPr>
              <w:adjustRightInd w:val="0"/>
              <w:snapToGrid w:val="0"/>
              <w:jc w:val="left"/>
              <w:rPr>
                <w:rFonts w:eastAsia="仿宋"/>
                <w:szCs w:val="21"/>
              </w:rPr>
            </w:pPr>
            <w:r>
              <w:rPr>
                <w:rFonts w:eastAsia="仿宋"/>
                <w:szCs w:val="21"/>
              </w:rPr>
              <w:t>采用目测、耳听等方法检查闸阀门的止水、运行抖动、构件的腐蚀损伤、焊缝等情况</w:t>
            </w:r>
          </w:p>
        </w:tc>
        <w:tc>
          <w:tcPr>
            <w:tcW w:w="386" w:type="pct"/>
            <w:vMerge w:val="restart"/>
            <w:vAlign w:val="center"/>
          </w:tcPr>
          <w:p w14:paraId="51D8F405">
            <w:pPr>
              <w:adjustRightInd w:val="0"/>
              <w:snapToGrid w:val="0"/>
              <w:jc w:val="center"/>
              <w:rPr>
                <w:rFonts w:eastAsia="仿宋"/>
                <w:szCs w:val="21"/>
              </w:rPr>
            </w:pPr>
            <w:r>
              <w:rPr>
                <w:rFonts w:hint="eastAsia" w:eastAsia="仿宋"/>
                <w:szCs w:val="21"/>
              </w:rPr>
              <w:t>船闸运行时间不大于35年的每3年检测1次；</w:t>
            </w:r>
          </w:p>
          <w:p w14:paraId="5CE60101">
            <w:pPr>
              <w:adjustRightInd w:val="0"/>
              <w:snapToGrid w:val="0"/>
              <w:jc w:val="center"/>
              <w:rPr>
                <w:rFonts w:eastAsia="仿宋"/>
                <w:szCs w:val="21"/>
              </w:rPr>
            </w:pPr>
            <w:r>
              <w:rPr>
                <w:rFonts w:hint="eastAsia" w:eastAsia="仿宋"/>
                <w:szCs w:val="21"/>
              </w:rPr>
              <w:t>船闸运行时间大于35年的每1年检测1次。</w:t>
            </w:r>
          </w:p>
        </w:tc>
      </w:tr>
      <w:tr w14:paraId="2E41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4" w:type="pct"/>
            <w:vAlign w:val="center"/>
          </w:tcPr>
          <w:p w14:paraId="5E5277CA">
            <w:pPr>
              <w:adjustRightInd w:val="0"/>
              <w:snapToGrid w:val="0"/>
              <w:jc w:val="center"/>
              <w:rPr>
                <w:rFonts w:eastAsia="仿宋"/>
                <w:szCs w:val="21"/>
              </w:rPr>
            </w:pPr>
            <w:r>
              <w:rPr>
                <w:rFonts w:eastAsia="仿宋"/>
                <w:szCs w:val="21"/>
              </w:rPr>
              <w:t>2</w:t>
            </w:r>
          </w:p>
        </w:tc>
        <w:tc>
          <w:tcPr>
            <w:tcW w:w="945" w:type="pct"/>
            <w:vAlign w:val="center"/>
          </w:tcPr>
          <w:p w14:paraId="1CCA6F81">
            <w:pPr>
              <w:adjustRightInd w:val="0"/>
              <w:snapToGrid w:val="0"/>
              <w:jc w:val="center"/>
              <w:rPr>
                <w:rFonts w:eastAsia="仿宋"/>
                <w:szCs w:val="21"/>
              </w:rPr>
            </w:pPr>
            <w:r>
              <w:rPr>
                <w:rFonts w:eastAsia="仿宋"/>
                <w:szCs w:val="21"/>
              </w:rPr>
              <w:t>外形尺寸及门体跳动量检测</w:t>
            </w:r>
          </w:p>
        </w:tc>
        <w:tc>
          <w:tcPr>
            <w:tcW w:w="3334" w:type="pct"/>
            <w:vAlign w:val="center"/>
          </w:tcPr>
          <w:p w14:paraId="1D2469A7">
            <w:pPr>
              <w:adjustRightInd w:val="0"/>
              <w:snapToGrid w:val="0"/>
              <w:jc w:val="left"/>
              <w:rPr>
                <w:rFonts w:eastAsia="仿宋"/>
                <w:szCs w:val="21"/>
              </w:rPr>
            </w:pPr>
            <w:r>
              <w:rPr>
                <w:rFonts w:eastAsia="仿宋"/>
                <w:szCs w:val="21"/>
              </w:rPr>
              <w:t>采用游标卡尺、水准仪等工具对构件变形（面板局部凹凸深度等）、构件（齿轮、齿条、滚轮等）磨损量、闸门运行中的跳动量进行测量</w:t>
            </w:r>
          </w:p>
        </w:tc>
        <w:tc>
          <w:tcPr>
            <w:tcW w:w="386" w:type="pct"/>
            <w:vMerge w:val="continue"/>
            <w:tcBorders/>
            <w:vAlign w:val="center"/>
          </w:tcPr>
          <w:p w14:paraId="18F5F194">
            <w:pPr>
              <w:adjustRightInd w:val="0"/>
              <w:snapToGrid w:val="0"/>
              <w:jc w:val="center"/>
              <w:rPr>
                <w:rFonts w:eastAsia="仿宋"/>
                <w:szCs w:val="21"/>
              </w:rPr>
            </w:pPr>
          </w:p>
        </w:tc>
      </w:tr>
      <w:tr w14:paraId="114D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4" w:type="pct"/>
            <w:vAlign w:val="center"/>
          </w:tcPr>
          <w:p w14:paraId="21E3D308">
            <w:pPr>
              <w:adjustRightInd w:val="0"/>
              <w:snapToGrid w:val="0"/>
              <w:jc w:val="center"/>
              <w:rPr>
                <w:rFonts w:eastAsia="仿宋"/>
                <w:szCs w:val="21"/>
              </w:rPr>
            </w:pPr>
            <w:r>
              <w:rPr>
                <w:rFonts w:eastAsia="仿宋"/>
                <w:szCs w:val="21"/>
              </w:rPr>
              <w:t>3</w:t>
            </w:r>
          </w:p>
        </w:tc>
        <w:tc>
          <w:tcPr>
            <w:tcW w:w="945" w:type="pct"/>
            <w:vAlign w:val="center"/>
          </w:tcPr>
          <w:p w14:paraId="3C239134">
            <w:pPr>
              <w:adjustRightInd w:val="0"/>
              <w:snapToGrid w:val="0"/>
              <w:jc w:val="center"/>
              <w:rPr>
                <w:rFonts w:eastAsia="仿宋"/>
                <w:szCs w:val="21"/>
              </w:rPr>
            </w:pPr>
            <w:r>
              <w:rPr>
                <w:rFonts w:eastAsia="仿宋"/>
                <w:szCs w:val="21"/>
              </w:rPr>
              <w:t>无损探伤检测</w:t>
            </w:r>
          </w:p>
        </w:tc>
        <w:tc>
          <w:tcPr>
            <w:tcW w:w="3334" w:type="pct"/>
            <w:vAlign w:val="center"/>
          </w:tcPr>
          <w:p w14:paraId="3B8653AE">
            <w:pPr>
              <w:adjustRightInd w:val="0"/>
              <w:snapToGrid w:val="0"/>
              <w:jc w:val="left"/>
              <w:rPr>
                <w:rFonts w:eastAsia="仿宋"/>
                <w:szCs w:val="21"/>
              </w:rPr>
            </w:pPr>
            <w:r>
              <w:rPr>
                <w:rFonts w:eastAsia="仿宋"/>
                <w:szCs w:val="21"/>
              </w:rPr>
              <w:t>采用超声波、渗透或磁粉等检测方法对巡视检查怀疑有裂纹但难以确定的一、二类焊缝，闸门顶枢拉杆、吊耳、吊杆、联接销轴等构件进行无损探伤检测。</w:t>
            </w:r>
          </w:p>
        </w:tc>
        <w:tc>
          <w:tcPr>
            <w:tcW w:w="386" w:type="pct"/>
            <w:vMerge w:val="continue"/>
            <w:tcBorders/>
            <w:vAlign w:val="center"/>
          </w:tcPr>
          <w:p w14:paraId="2B45013F">
            <w:pPr>
              <w:adjustRightInd w:val="0"/>
              <w:snapToGrid w:val="0"/>
              <w:jc w:val="center"/>
              <w:rPr>
                <w:rFonts w:eastAsia="仿宋"/>
                <w:szCs w:val="21"/>
              </w:rPr>
            </w:pPr>
          </w:p>
        </w:tc>
      </w:tr>
      <w:tr w14:paraId="1F45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4" w:type="pct"/>
            <w:vAlign w:val="center"/>
          </w:tcPr>
          <w:p w14:paraId="66881186">
            <w:pPr>
              <w:adjustRightInd w:val="0"/>
              <w:snapToGrid w:val="0"/>
              <w:jc w:val="center"/>
              <w:rPr>
                <w:rFonts w:eastAsia="仿宋"/>
                <w:szCs w:val="21"/>
              </w:rPr>
            </w:pPr>
            <w:r>
              <w:rPr>
                <w:rFonts w:eastAsia="仿宋"/>
                <w:szCs w:val="21"/>
              </w:rPr>
              <w:t>4</w:t>
            </w:r>
          </w:p>
        </w:tc>
        <w:tc>
          <w:tcPr>
            <w:tcW w:w="945" w:type="pct"/>
            <w:vAlign w:val="center"/>
          </w:tcPr>
          <w:p w14:paraId="0D1524F7">
            <w:pPr>
              <w:adjustRightInd w:val="0"/>
              <w:snapToGrid w:val="0"/>
              <w:jc w:val="center"/>
              <w:rPr>
                <w:rFonts w:eastAsia="仿宋"/>
                <w:szCs w:val="21"/>
              </w:rPr>
            </w:pPr>
            <w:r>
              <w:rPr>
                <w:rFonts w:eastAsia="仿宋"/>
                <w:szCs w:val="21"/>
              </w:rPr>
              <w:t>应力检测</w:t>
            </w:r>
          </w:p>
        </w:tc>
        <w:tc>
          <w:tcPr>
            <w:tcW w:w="3334" w:type="pct"/>
            <w:vAlign w:val="center"/>
          </w:tcPr>
          <w:p w14:paraId="7F37BEB1">
            <w:pPr>
              <w:adjustRightInd w:val="0"/>
              <w:snapToGrid w:val="0"/>
              <w:jc w:val="left"/>
              <w:rPr>
                <w:rFonts w:eastAsia="仿宋"/>
                <w:szCs w:val="21"/>
              </w:rPr>
            </w:pPr>
            <w:r>
              <w:rPr>
                <w:rFonts w:eastAsia="仿宋"/>
                <w:szCs w:val="21"/>
              </w:rPr>
              <w:t>测定检测对象在闸阀门开启、关闭过程中应力变化过程线。</w:t>
            </w:r>
          </w:p>
        </w:tc>
        <w:tc>
          <w:tcPr>
            <w:tcW w:w="386" w:type="pct"/>
            <w:vMerge w:val="continue"/>
            <w:tcBorders/>
            <w:vAlign w:val="center"/>
          </w:tcPr>
          <w:p w14:paraId="189B7787">
            <w:pPr>
              <w:adjustRightInd w:val="0"/>
              <w:snapToGrid w:val="0"/>
              <w:jc w:val="center"/>
              <w:rPr>
                <w:rFonts w:eastAsia="仿宋"/>
                <w:szCs w:val="21"/>
              </w:rPr>
            </w:pPr>
          </w:p>
        </w:tc>
      </w:tr>
      <w:tr w14:paraId="69E5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4" w:type="pct"/>
            <w:vAlign w:val="center"/>
          </w:tcPr>
          <w:p w14:paraId="3AEF29A5">
            <w:pPr>
              <w:adjustRightInd w:val="0"/>
              <w:snapToGrid w:val="0"/>
              <w:jc w:val="center"/>
              <w:rPr>
                <w:rFonts w:eastAsia="仿宋"/>
                <w:szCs w:val="21"/>
              </w:rPr>
            </w:pPr>
            <w:r>
              <w:rPr>
                <w:rFonts w:eastAsia="仿宋"/>
                <w:szCs w:val="21"/>
              </w:rPr>
              <w:t>5</w:t>
            </w:r>
          </w:p>
        </w:tc>
        <w:tc>
          <w:tcPr>
            <w:tcW w:w="945" w:type="pct"/>
            <w:vAlign w:val="center"/>
          </w:tcPr>
          <w:p w14:paraId="041D733D">
            <w:pPr>
              <w:adjustRightInd w:val="0"/>
              <w:snapToGrid w:val="0"/>
              <w:jc w:val="center"/>
              <w:rPr>
                <w:rFonts w:eastAsia="仿宋"/>
                <w:szCs w:val="21"/>
              </w:rPr>
            </w:pPr>
            <w:r>
              <w:rPr>
                <w:rFonts w:eastAsia="仿宋"/>
                <w:szCs w:val="21"/>
              </w:rPr>
              <w:t>锈蚀检测</w:t>
            </w:r>
          </w:p>
        </w:tc>
        <w:tc>
          <w:tcPr>
            <w:tcW w:w="3334" w:type="pct"/>
            <w:vAlign w:val="center"/>
          </w:tcPr>
          <w:p w14:paraId="78DAABE5">
            <w:pPr>
              <w:adjustRightInd w:val="0"/>
              <w:snapToGrid w:val="0"/>
              <w:jc w:val="left"/>
              <w:rPr>
                <w:rFonts w:eastAsia="仿宋"/>
                <w:szCs w:val="21"/>
              </w:rPr>
            </w:pPr>
            <w:r>
              <w:rPr>
                <w:rFonts w:eastAsia="仿宋"/>
                <w:szCs w:val="21"/>
              </w:rPr>
              <w:t>通过金属超声测厚仪检测钢结构腐蚀剩余厚度</w:t>
            </w:r>
          </w:p>
        </w:tc>
        <w:tc>
          <w:tcPr>
            <w:tcW w:w="386" w:type="pct"/>
            <w:vMerge w:val="continue"/>
            <w:tcBorders/>
            <w:vAlign w:val="center"/>
          </w:tcPr>
          <w:p w14:paraId="78016DFE">
            <w:pPr>
              <w:adjustRightInd w:val="0"/>
              <w:snapToGrid w:val="0"/>
              <w:jc w:val="center"/>
              <w:rPr>
                <w:rFonts w:eastAsia="仿宋"/>
                <w:szCs w:val="21"/>
              </w:rPr>
            </w:pPr>
          </w:p>
        </w:tc>
      </w:tr>
      <w:tr w14:paraId="5C31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4" w:type="pct"/>
            <w:vAlign w:val="center"/>
          </w:tcPr>
          <w:p w14:paraId="2A81009F">
            <w:pPr>
              <w:adjustRightInd w:val="0"/>
              <w:snapToGrid w:val="0"/>
              <w:jc w:val="center"/>
              <w:rPr>
                <w:rFonts w:eastAsia="仿宋"/>
                <w:szCs w:val="21"/>
              </w:rPr>
            </w:pPr>
            <w:r>
              <w:rPr>
                <w:rFonts w:eastAsia="仿宋"/>
                <w:szCs w:val="21"/>
              </w:rPr>
              <w:t>6</w:t>
            </w:r>
          </w:p>
        </w:tc>
        <w:tc>
          <w:tcPr>
            <w:tcW w:w="945" w:type="pct"/>
            <w:vAlign w:val="center"/>
          </w:tcPr>
          <w:p w14:paraId="320198D9">
            <w:pPr>
              <w:adjustRightInd w:val="0"/>
              <w:snapToGrid w:val="0"/>
              <w:jc w:val="center"/>
              <w:rPr>
                <w:rFonts w:eastAsia="仿宋"/>
                <w:szCs w:val="21"/>
              </w:rPr>
            </w:pPr>
            <w:r>
              <w:rPr>
                <w:rFonts w:eastAsia="仿宋"/>
                <w:szCs w:val="21"/>
              </w:rPr>
              <w:t>涂层厚度检测</w:t>
            </w:r>
          </w:p>
        </w:tc>
        <w:tc>
          <w:tcPr>
            <w:tcW w:w="3334" w:type="pct"/>
            <w:vAlign w:val="center"/>
          </w:tcPr>
          <w:p w14:paraId="02518272">
            <w:pPr>
              <w:adjustRightInd w:val="0"/>
              <w:snapToGrid w:val="0"/>
              <w:jc w:val="left"/>
              <w:rPr>
                <w:rFonts w:eastAsia="仿宋"/>
                <w:szCs w:val="21"/>
              </w:rPr>
            </w:pPr>
            <w:r>
              <w:rPr>
                <w:rFonts w:eastAsia="仿宋"/>
                <w:szCs w:val="21"/>
              </w:rPr>
              <w:t>通过涂层测厚仪检测钢结构防腐涂层厚度。</w:t>
            </w:r>
          </w:p>
        </w:tc>
        <w:tc>
          <w:tcPr>
            <w:tcW w:w="386" w:type="pct"/>
            <w:vMerge w:val="continue"/>
            <w:tcBorders/>
            <w:vAlign w:val="center"/>
          </w:tcPr>
          <w:p w14:paraId="0C05F914">
            <w:pPr>
              <w:adjustRightInd w:val="0"/>
              <w:snapToGrid w:val="0"/>
              <w:jc w:val="center"/>
              <w:rPr>
                <w:rFonts w:eastAsia="仿宋"/>
                <w:szCs w:val="21"/>
              </w:rPr>
            </w:pPr>
          </w:p>
        </w:tc>
      </w:tr>
      <w:tr w14:paraId="1069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4" w:type="pct"/>
            <w:vAlign w:val="center"/>
          </w:tcPr>
          <w:p w14:paraId="64C30D34">
            <w:pPr>
              <w:adjustRightInd w:val="0"/>
              <w:snapToGrid w:val="0"/>
              <w:jc w:val="center"/>
              <w:rPr>
                <w:rFonts w:eastAsia="仿宋"/>
                <w:szCs w:val="21"/>
              </w:rPr>
            </w:pPr>
            <w:r>
              <w:rPr>
                <w:rFonts w:eastAsia="仿宋"/>
                <w:szCs w:val="21"/>
              </w:rPr>
              <w:t>7</w:t>
            </w:r>
          </w:p>
        </w:tc>
        <w:tc>
          <w:tcPr>
            <w:tcW w:w="945" w:type="pct"/>
            <w:vAlign w:val="center"/>
          </w:tcPr>
          <w:p w14:paraId="29DE7BC7">
            <w:pPr>
              <w:adjustRightInd w:val="0"/>
              <w:snapToGrid w:val="0"/>
              <w:jc w:val="center"/>
              <w:rPr>
                <w:rFonts w:eastAsia="仿宋"/>
                <w:szCs w:val="21"/>
              </w:rPr>
            </w:pPr>
            <w:r>
              <w:rPr>
                <w:rFonts w:eastAsia="仿宋"/>
                <w:szCs w:val="21"/>
              </w:rPr>
              <w:t>结构振动检测</w:t>
            </w:r>
          </w:p>
        </w:tc>
        <w:tc>
          <w:tcPr>
            <w:tcW w:w="3334" w:type="pct"/>
            <w:vAlign w:val="center"/>
          </w:tcPr>
          <w:p w14:paraId="573F4CBF">
            <w:pPr>
              <w:adjustRightInd w:val="0"/>
              <w:snapToGrid w:val="0"/>
              <w:jc w:val="left"/>
              <w:rPr>
                <w:rFonts w:eastAsia="仿宋"/>
                <w:szCs w:val="21"/>
              </w:rPr>
            </w:pPr>
            <w:r>
              <w:rPr>
                <w:rFonts w:eastAsia="仿宋"/>
                <w:szCs w:val="21"/>
              </w:rPr>
              <w:t>采用位移传感器、速度传感器、加速度传感器等，检测结构振动量（位移、速度、加速度、动应力等）或结构自振特性（自振频率、阻尼比、振型等）</w:t>
            </w:r>
          </w:p>
        </w:tc>
        <w:tc>
          <w:tcPr>
            <w:tcW w:w="386" w:type="pct"/>
            <w:vMerge w:val="continue"/>
            <w:tcBorders/>
            <w:vAlign w:val="center"/>
          </w:tcPr>
          <w:p w14:paraId="327011DB">
            <w:pPr>
              <w:adjustRightInd w:val="0"/>
              <w:snapToGrid w:val="0"/>
              <w:jc w:val="center"/>
              <w:rPr>
                <w:rFonts w:eastAsia="仿宋"/>
                <w:szCs w:val="21"/>
              </w:rPr>
            </w:pPr>
          </w:p>
        </w:tc>
      </w:tr>
    </w:tbl>
    <w:p w14:paraId="45666C55">
      <w:pPr>
        <w:spacing w:line="360" w:lineRule="auto"/>
        <w:jc w:val="center"/>
        <w:rPr>
          <w:rFonts w:eastAsia="仿宋"/>
          <w:b/>
          <w:bCs/>
          <w:kern w:val="0"/>
          <w:szCs w:val="21"/>
        </w:rPr>
      </w:pPr>
      <w:r>
        <w:rPr>
          <w:rFonts w:eastAsia="仿宋"/>
          <w:b/>
          <w:bCs/>
          <w:kern w:val="0"/>
          <w:szCs w:val="21"/>
        </w:rPr>
        <w:t xml:space="preserve">表7 启闭机检测内容汇总表 </w:t>
      </w:r>
    </w:p>
    <w:tbl>
      <w:tblPr>
        <w:tblStyle w:val="5"/>
        <w:tblpPr w:leftFromText="180" w:rightFromText="180" w:vertAnchor="text" w:tblpY="1"/>
        <w:tblOverlap w:val="never"/>
        <w:tblW w:w="50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5"/>
        <w:gridCol w:w="1578"/>
        <w:gridCol w:w="5359"/>
        <w:gridCol w:w="844"/>
      </w:tblGrid>
      <w:tr w14:paraId="48F0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3" w:type="pct"/>
            <w:vAlign w:val="center"/>
          </w:tcPr>
          <w:p w14:paraId="0556DC9D">
            <w:pPr>
              <w:adjustRightInd w:val="0"/>
              <w:snapToGrid w:val="0"/>
              <w:jc w:val="center"/>
              <w:rPr>
                <w:rFonts w:eastAsia="仿宋"/>
                <w:b/>
                <w:bCs/>
                <w:szCs w:val="21"/>
              </w:rPr>
            </w:pPr>
            <w:r>
              <w:rPr>
                <w:rFonts w:eastAsia="仿宋"/>
                <w:b/>
                <w:bCs/>
                <w:szCs w:val="21"/>
              </w:rPr>
              <w:t>序号</w:t>
            </w:r>
          </w:p>
        </w:tc>
        <w:tc>
          <w:tcPr>
            <w:tcW w:w="946" w:type="pct"/>
            <w:vAlign w:val="center"/>
          </w:tcPr>
          <w:p w14:paraId="705A1D71">
            <w:pPr>
              <w:adjustRightInd w:val="0"/>
              <w:snapToGrid w:val="0"/>
              <w:jc w:val="center"/>
              <w:rPr>
                <w:rFonts w:eastAsia="仿宋"/>
                <w:b/>
                <w:bCs/>
                <w:szCs w:val="21"/>
              </w:rPr>
            </w:pPr>
            <w:r>
              <w:rPr>
                <w:rFonts w:eastAsia="仿宋"/>
                <w:b/>
                <w:bCs/>
                <w:szCs w:val="21"/>
              </w:rPr>
              <w:t>项  目</w:t>
            </w:r>
          </w:p>
        </w:tc>
        <w:tc>
          <w:tcPr>
            <w:tcW w:w="3213" w:type="pct"/>
            <w:vAlign w:val="center"/>
          </w:tcPr>
          <w:p w14:paraId="4C2870E9">
            <w:pPr>
              <w:adjustRightInd w:val="0"/>
              <w:snapToGrid w:val="0"/>
              <w:jc w:val="center"/>
              <w:rPr>
                <w:rFonts w:eastAsia="仿宋"/>
                <w:b/>
                <w:bCs/>
                <w:szCs w:val="21"/>
              </w:rPr>
            </w:pPr>
            <w:r>
              <w:rPr>
                <w:rFonts w:eastAsia="仿宋"/>
                <w:b/>
                <w:bCs/>
                <w:szCs w:val="21"/>
              </w:rPr>
              <w:t>检测内容或方法</w:t>
            </w:r>
          </w:p>
        </w:tc>
        <w:tc>
          <w:tcPr>
            <w:tcW w:w="506" w:type="pct"/>
          </w:tcPr>
          <w:p w14:paraId="46807409">
            <w:pPr>
              <w:adjustRightInd w:val="0"/>
              <w:snapToGrid w:val="0"/>
              <w:jc w:val="center"/>
              <w:rPr>
                <w:rFonts w:eastAsia="仿宋"/>
                <w:b/>
                <w:bCs/>
                <w:szCs w:val="21"/>
              </w:rPr>
            </w:pPr>
            <w:r>
              <w:rPr>
                <w:rFonts w:eastAsia="仿宋"/>
                <w:b/>
                <w:bCs/>
                <w:szCs w:val="21"/>
              </w:rPr>
              <w:t>周期（年）</w:t>
            </w:r>
          </w:p>
        </w:tc>
      </w:tr>
      <w:tr w14:paraId="5EF2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3" w:type="pct"/>
            <w:vAlign w:val="center"/>
          </w:tcPr>
          <w:p w14:paraId="458D12E4">
            <w:pPr>
              <w:adjustRightInd w:val="0"/>
              <w:snapToGrid w:val="0"/>
              <w:jc w:val="center"/>
              <w:rPr>
                <w:rFonts w:eastAsia="仿宋"/>
                <w:szCs w:val="21"/>
              </w:rPr>
            </w:pPr>
            <w:r>
              <w:rPr>
                <w:rFonts w:eastAsia="仿宋"/>
                <w:szCs w:val="21"/>
              </w:rPr>
              <w:t>1</w:t>
            </w:r>
          </w:p>
        </w:tc>
        <w:tc>
          <w:tcPr>
            <w:tcW w:w="946" w:type="pct"/>
            <w:shd w:val="clear" w:color="auto" w:fill="auto"/>
            <w:vAlign w:val="center"/>
          </w:tcPr>
          <w:p w14:paraId="501A80CE">
            <w:pPr>
              <w:adjustRightInd w:val="0"/>
              <w:snapToGrid w:val="0"/>
              <w:jc w:val="center"/>
              <w:rPr>
                <w:rFonts w:eastAsia="仿宋"/>
                <w:szCs w:val="21"/>
              </w:rPr>
            </w:pPr>
            <w:r>
              <w:rPr>
                <w:rFonts w:eastAsia="仿宋"/>
                <w:szCs w:val="21"/>
              </w:rPr>
              <w:t>巡视检查</w:t>
            </w:r>
          </w:p>
        </w:tc>
        <w:tc>
          <w:tcPr>
            <w:tcW w:w="3213" w:type="pct"/>
            <w:shd w:val="clear" w:color="auto" w:fill="auto"/>
            <w:vAlign w:val="center"/>
          </w:tcPr>
          <w:p w14:paraId="23CC3FB8">
            <w:pPr>
              <w:adjustRightInd w:val="0"/>
              <w:snapToGrid w:val="0"/>
              <w:jc w:val="left"/>
              <w:rPr>
                <w:rFonts w:eastAsia="仿宋"/>
                <w:szCs w:val="21"/>
              </w:rPr>
            </w:pPr>
            <w:r>
              <w:rPr>
                <w:rFonts w:eastAsia="仿宋"/>
                <w:szCs w:val="21"/>
              </w:rPr>
              <w:t>采用目测、耳听等方法检查启闭机的运行抖动、构件的腐蚀损伤、焊缝等情况</w:t>
            </w:r>
          </w:p>
        </w:tc>
        <w:tc>
          <w:tcPr>
            <w:tcW w:w="506" w:type="pct"/>
            <w:vMerge w:val="restart"/>
            <w:vAlign w:val="center"/>
          </w:tcPr>
          <w:p w14:paraId="3A621C0D">
            <w:pPr>
              <w:adjustRightInd w:val="0"/>
              <w:snapToGrid w:val="0"/>
              <w:jc w:val="center"/>
              <w:rPr>
                <w:rFonts w:eastAsia="仿宋"/>
                <w:szCs w:val="21"/>
              </w:rPr>
            </w:pPr>
            <w:r>
              <w:rPr>
                <w:rFonts w:hint="eastAsia" w:eastAsia="仿宋"/>
                <w:szCs w:val="21"/>
              </w:rPr>
              <w:t>船闸运行时间不大于35年的每3年检测1次；</w:t>
            </w:r>
          </w:p>
          <w:p w14:paraId="4677E1A8">
            <w:pPr>
              <w:adjustRightInd w:val="0"/>
              <w:snapToGrid w:val="0"/>
              <w:jc w:val="center"/>
              <w:rPr>
                <w:rFonts w:eastAsia="仿宋"/>
                <w:szCs w:val="21"/>
              </w:rPr>
            </w:pPr>
            <w:r>
              <w:rPr>
                <w:rFonts w:hint="eastAsia" w:eastAsia="仿宋"/>
                <w:szCs w:val="21"/>
              </w:rPr>
              <w:t>船闸运行时间大于35年的每1年检测1次。</w:t>
            </w:r>
          </w:p>
        </w:tc>
      </w:tr>
      <w:tr w14:paraId="7110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3" w:type="pct"/>
            <w:vAlign w:val="center"/>
          </w:tcPr>
          <w:p w14:paraId="1E0DF21E">
            <w:pPr>
              <w:adjustRightInd w:val="0"/>
              <w:snapToGrid w:val="0"/>
              <w:jc w:val="center"/>
              <w:rPr>
                <w:rFonts w:eastAsia="仿宋"/>
                <w:szCs w:val="21"/>
              </w:rPr>
            </w:pPr>
            <w:r>
              <w:rPr>
                <w:rFonts w:eastAsia="仿宋"/>
                <w:szCs w:val="21"/>
              </w:rPr>
              <w:t>2</w:t>
            </w:r>
          </w:p>
        </w:tc>
        <w:tc>
          <w:tcPr>
            <w:tcW w:w="946" w:type="pct"/>
            <w:vAlign w:val="center"/>
          </w:tcPr>
          <w:p w14:paraId="180E237F">
            <w:pPr>
              <w:adjustRightInd w:val="0"/>
              <w:snapToGrid w:val="0"/>
              <w:jc w:val="center"/>
              <w:rPr>
                <w:rFonts w:eastAsia="仿宋"/>
                <w:szCs w:val="21"/>
              </w:rPr>
            </w:pPr>
            <w:r>
              <w:rPr>
                <w:rFonts w:eastAsia="仿宋"/>
                <w:szCs w:val="21"/>
              </w:rPr>
              <w:t>液压油检测</w:t>
            </w:r>
          </w:p>
        </w:tc>
        <w:tc>
          <w:tcPr>
            <w:tcW w:w="3213" w:type="pct"/>
            <w:vAlign w:val="center"/>
          </w:tcPr>
          <w:p w14:paraId="71747442">
            <w:pPr>
              <w:adjustRightInd w:val="0"/>
              <w:snapToGrid w:val="0"/>
              <w:jc w:val="left"/>
              <w:rPr>
                <w:rFonts w:eastAsia="仿宋"/>
                <w:szCs w:val="21"/>
              </w:rPr>
            </w:pPr>
            <w:r>
              <w:rPr>
                <w:rFonts w:eastAsia="仿宋"/>
                <w:szCs w:val="21"/>
              </w:rPr>
              <w:t>液压油检测包括污染度检测和理化性能检测</w:t>
            </w:r>
          </w:p>
        </w:tc>
        <w:tc>
          <w:tcPr>
            <w:tcW w:w="506" w:type="pct"/>
            <w:vMerge w:val="continue"/>
            <w:tcBorders/>
            <w:vAlign w:val="center"/>
          </w:tcPr>
          <w:p w14:paraId="1B9CFFDD">
            <w:pPr>
              <w:adjustRightInd w:val="0"/>
              <w:snapToGrid w:val="0"/>
              <w:jc w:val="center"/>
              <w:rPr>
                <w:rFonts w:eastAsia="仿宋"/>
                <w:szCs w:val="21"/>
              </w:rPr>
            </w:pPr>
          </w:p>
        </w:tc>
      </w:tr>
      <w:tr w14:paraId="09CD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3" w:type="pct"/>
            <w:vAlign w:val="center"/>
          </w:tcPr>
          <w:p w14:paraId="22F40521">
            <w:pPr>
              <w:adjustRightInd w:val="0"/>
              <w:snapToGrid w:val="0"/>
              <w:jc w:val="center"/>
              <w:rPr>
                <w:rFonts w:eastAsia="仿宋"/>
                <w:szCs w:val="21"/>
              </w:rPr>
            </w:pPr>
            <w:r>
              <w:rPr>
                <w:rFonts w:eastAsia="仿宋"/>
                <w:szCs w:val="21"/>
              </w:rPr>
              <w:t>3</w:t>
            </w:r>
          </w:p>
        </w:tc>
        <w:tc>
          <w:tcPr>
            <w:tcW w:w="946" w:type="pct"/>
            <w:vAlign w:val="center"/>
          </w:tcPr>
          <w:p w14:paraId="06758E25">
            <w:pPr>
              <w:adjustRightInd w:val="0"/>
              <w:snapToGrid w:val="0"/>
              <w:jc w:val="center"/>
              <w:rPr>
                <w:rFonts w:eastAsia="仿宋"/>
                <w:szCs w:val="21"/>
              </w:rPr>
            </w:pPr>
            <w:r>
              <w:rPr>
                <w:rFonts w:eastAsia="仿宋"/>
                <w:szCs w:val="21"/>
              </w:rPr>
              <w:t>启闭机保护功能检测</w:t>
            </w:r>
          </w:p>
        </w:tc>
        <w:tc>
          <w:tcPr>
            <w:tcW w:w="3213" w:type="pct"/>
            <w:vAlign w:val="center"/>
          </w:tcPr>
          <w:p w14:paraId="66DADC09">
            <w:pPr>
              <w:adjustRightInd w:val="0"/>
              <w:snapToGrid w:val="0"/>
              <w:jc w:val="left"/>
              <w:rPr>
                <w:rFonts w:eastAsia="仿宋"/>
                <w:szCs w:val="21"/>
              </w:rPr>
            </w:pPr>
            <w:r>
              <w:rPr>
                <w:rFonts w:eastAsia="仿宋"/>
                <w:szCs w:val="21"/>
              </w:rPr>
              <w:t>液压启闭机：溢流保护、超压保护、失压保护和液位保护功能检测。</w:t>
            </w:r>
          </w:p>
          <w:p w14:paraId="753820C1">
            <w:pPr>
              <w:adjustRightInd w:val="0"/>
              <w:snapToGrid w:val="0"/>
              <w:jc w:val="left"/>
              <w:rPr>
                <w:rFonts w:eastAsia="仿宋"/>
                <w:szCs w:val="21"/>
              </w:rPr>
            </w:pPr>
            <w:r>
              <w:rPr>
                <w:rFonts w:eastAsia="仿宋"/>
                <w:szCs w:val="21"/>
              </w:rPr>
              <w:t>机械启闭机：行程限位器、起重量限制器、紧急断电开关和防撞保护功能状况。</w:t>
            </w:r>
          </w:p>
        </w:tc>
        <w:tc>
          <w:tcPr>
            <w:tcW w:w="506" w:type="pct"/>
            <w:vMerge w:val="continue"/>
            <w:tcBorders/>
            <w:vAlign w:val="center"/>
          </w:tcPr>
          <w:p w14:paraId="054D8401">
            <w:pPr>
              <w:adjustRightInd w:val="0"/>
              <w:snapToGrid w:val="0"/>
              <w:jc w:val="center"/>
              <w:rPr>
                <w:rFonts w:eastAsia="仿宋"/>
                <w:szCs w:val="21"/>
              </w:rPr>
            </w:pPr>
          </w:p>
        </w:tc>
      </w:tr>
      <w:tr w14:paraId="467D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3" w:type="pct"/>
            <w:vAlign w:val="center"/>
          </w:tcPr>
          <w:p w14:paraId="35369B9C">
            <w:pPr>
              <w:adjustRightInd w:val="0"/>
              <w:snapToGrid w:val="0"/>
              <w:jc w:val="center"/>
              <w:rPr>
                <w:rFonts w:eastAsia="仿宋"/>
                <w:szCs w:val="21"/>
              </w:rPr>
            </w:pPr>
            <w:r>
              <w:rPr>
                <w:rFonts w:eastAsia="仿宋"/>
                <w:szCs w:val="21"/>
              </w:rPr>
              <w:t>4</w:t>
            </w:r>
          </w:p>
        </w:tc>
        <w:tc>
          <w:tcPr>
            <w:tcW w:w="946" w:type="pct"/>
            <w:vAlign w:val="center"/>
          </w:tcPr>
          <w:p w14:paraId="0AFC7AAE">
            <w:pPr>
              <w:adjustRightInd w:val="0"/>
              <w:snapToGrid w:val="0"/>
              <w:jc w:val="center"/>
              <w:rPr>
                <w:rFonts w:eastAsia="仿宋"/>
                <w:szCs w:val="21"/>
              </w:rPr>
            </w:pPr>
            <w:r>
              <w:rPr>
                <w:rFonts w:eastAsia="仿宋"/>
                <w:szCs w:val="21"/>
              </w:rPr>
              <w:t>启闭力检测</w:t>
            </w:r>
          </w:p>
        </w:tc>
        <w:tc>
          <w:tcPr>
            <w:tcW w:w="3213" w:type="pct"/>
            <w:vAlign w:val="center"/>
          </w:tcPr>
          <w:p w14:paraId="12FB11DF">
            <w:pPr>
              <w:adjustRightInd w:val="0"/>
              <w:snapToGrid w:val="0"/>
              <w:jc w:val="left"/>
              <w:rPr>
                <w:rFonts w:eastAsia="仿宋"/>
                <w:szCs w:val="21"/>
              </w:rPr>
            </w:pPr>
            <w:r>
              <w:rPr>
                <w:rFonts w:eastAsia="仿宋"/>
                <w:szCs w:val="21"/>
              </w:rPr>
              <w:t>采用油压换算或应变片法对启闭机运行过程中的启闭力进行检测。</w:t>
            </w:r>
          </w:p>
        </w:tc>
        <w:tc>
          <w:tcPr>
            <w:tcW w:w="506" w:type="pct"/>
            <w:vMerge w:val="continue"/>
            <w:tcBorders/>
            <w:vAlign w:val="center"/>
          </w:tcPr>
          <w:p w14:paraId="44E95561">
            <w:pPr>
              <w:adjustRightInd w:val="0"/>
              <w:snapToGrid w:val="0"/>
              <w:jc w:val="center"/>
              <w:rPr>
                <w:rFonts w:eastAsia="仿宋"/>
                <w:szCs w:val="21"/>
              </w:rPr>
            </w:pPr>
          </w:p>
        </w:tc>
      </w:tr>
      <w:tr w14:paraId="3E95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3" w:type="pct"/>
            <w:vAlign w:val="center"/>
          </w:tcPr>
          <w:p w14:paraId="4D4DB496">
            <w:pPr>
              <w:adjustRightInd w:val="0"/>
              <w:snapToGrid w:val="0"/>
              <w:jc w:val="center"/>
              <w:rPr>
                <w:rFonts w:eastAsia="仿宋"/>
                <w:szCs w:val="21"/>
              </w:rPr>
            </w:pPr>
            <w:r>
              <w:rPr>
                <w:rFonts w:eastAsia="仿宋"/>
                <w:szCs w:val="21"/>
              </w:rPr>
              <w:t>5</w:t>
            </w:r>
          </w:p>
        </w:tc>
        <w:tc>
          <w:tcPr>
            <w:tcW w:w="946" w:type="pct"/>
            <w:vAlign w:val="center"/>
          </w:tcPr>
          <w:p w14:paraId="3915B7CF">
            <w:pPr>
              <w:adjustRightInd w:val="0"/>
              <w:snapToGrid w:val="0"/>
              <w:jc w:val="center"/>
              <w:rPr>
                <w:rFonts w:eastAsia="仿宋"/>
                <w:szCs w:val="21"/>
              </w:rPr>
            </w:pPr>
            <w:r>
              <w:rPr>
                <w:rFonts w:eastAsia="仿宋"/>
                <w:szCs w:val="21"/>
              </w:rPr>
              <w:t>锈蚀检测</w:t>
            </w:r>
          </w:p>
        </w:tc>
        <w:tc>
          <w:tcPr>
            <w:tcW w:w="3213" w:type="pct"/>
            <w:vAlign w:val="center"/>
          </w:tcPr>
          <w:p w14:paraId="11394776">
            <w:pPr>
              <w:adjustRightInd w:val="0"/>
              <w:snapToGrid w:val="0"/>
              <w:jc w:val="left"/>
              <w:rPr>
                <w:rFonts w:eastAsia="仿宋"/>
                <w:szCs w:val="21"/>
              </w:rPr>
            </w:pPr>
            <w:r>
              <w:rPr>
                <w:rFonts w:eastAsia="仿宋"/>
                <w:szCs w:val="21"/>
              </w:rPr>
              <w:t>通过金属超声测厚仪检测钢结构腐蚀剩余厚度。</w:t>
            </w:r>
          </w:p>
        </w:tc>
        <w:tc>
          <w:tcPr>
            <w:tcW w:w="506" w:type="pct"/>
            <w:vMerge w:val="continue"/>
            <w:tcBorders/>
            <w:vAlign w:val="center"/>
          </w:tcPr>
          <w:p w14:paraId="5D772360">
            <w:pPr>
              <w:adjustRightInd w:val="0"/>
              <w:snapToGrid w:val="0"/>
              <w:jc w:val="center"/>
              <w:rPr>
                <w:rFonts w:eastAsia="仿宋"/>
                <w:szCs w:val="21"/>
              </w:rPr>
            </w:pPr>
          </w:p>
        </w:tc>
      </w:tr>
      <w:tr w14:paraId="4C84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3" w:type="pct"/>
            <w:vAlign w:val="center"/>
          </w:tcPr>
          <w:p w14:paraId="76F41B82">
            <w:pPr>
              <w:adjustRightInd w:val="0"/>
              <w:snapToGrid w:val="0"/>
              <w:jc w:val="center"/>
              <w:rPr>
                <w:rFonts w:eastAsia="仿宋"/>
                <w:szCs w:val="21"/>
              </w:rPr>
            </w:pPr>
            <w:r>
              <w:rPr>
                <w:rFonts w:eastAsia="仿宋"/>
                <w:szCs w:val="21"/>
              </w:rPr>
              <w:t>6</w:t>
            </w:r>
          </w:p>
        </w:tc>
        <w:tc>
          <w:tcPr>
            <w:tcW w:w="946" w:type="pct"/>
            <w:vAlign w:val="center"/>
          </w:tcPr>
          <w:p w14:paraId="0DD0335B">
            <w:pPr>
              <w:adjustRightInd w:val="0"/>
              <w:snapToGrid w:val="0"/>
              <w:jc w:val="center"/>
              <w:rPr>
                <w:rFonts w:eastAsia="仿宋"/>
                <w:szCs w:val="21"/>
              </w:rPr>
            </w:pPr>
            <w:r>
              <w:rPr>
                <w:rFonts w:eastAsia="仿宋"/>
                <w:szCs w:val="21"/>
              </w:rPr>
              <w:t>涂层厚度检测</w:t>
            </w:r>
          </w:p>
        </w:tc>
        <w:tc>
          <w:tcPr>
            <w:tcW w:w="3213" w:type="pct"/>
            <w:vAlign w:val="center"/>
          </w:tcPr>
          <w:p w14:paraId="074ED78B">
            <w:pPr>
              <w:adjustRightInd w:val="0"/>
              <w:snapToGrid w:val="0"/>
              <w:jc w:val="left"/>
              <w:rPr>
                <w:rFonts w:eastAsia="仿宋"/>
                <w:szCs w:val="21"/>
              </w:rPr>
            </w:pPr>
            <w:r>
              <w:rPr>
                <w:rFonts w:eastAsia="仿宋"/>
                <w:szCs w:val="21"/>
              </w:rPr>
              <w:t>通过涂层测厚仪检测钢结构防腐涂层厚度。</w:t>
            </w:r>
          </w:p>
        </w:tc>
        <w:tc>
          <w:tcPr>
            <w:tcW w:w="506" w:type="pct"/>
            <w:vMerge w:val="continue"/>
            <w:tcBorders/>
            <w:vAlign w:val="center"/>
          </w:tcPr>
          <w:p w14:paraId="76AFACC9">
            <w:pPr>
              <w:adjustRightInd w:val="0"/>
              <w:snapToGrid w:val="0"/>
              <w:jc w:val="center"/>
              <w:rPr>
                <w:rFonts w:eastAsia="仿宋"/>
                <w:szCs w:val="21"/>
              </w:rPr>
            </w:pPr>
          </w:p>
        </w:tc>
      </w:tr>
      <w:tr w14:paraId="1100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3" w:type="pct"/>
            <w:vAlign w:val="center"/>
          </w:tcPr>
          <w:p w14:paraId="13DC8722">
            <w:pPr>
              <w:adjustRightInd w:val="0"/>
              <w:snapToGrid w:val="0"/>
              <w:jc w:val="center"/>
              <w:rPr>
                <w:rFonts w:eastAsia="仿宋"/>
                <w:szCs w:val="21"/>
              </w:rPr>
            </w:pPr>
            <w:r>
              <w:rPr>
                <w:rFonts w:eastAsia="仿宋"/>
                <w:szCs w:val="21"/>
              </w:rPr>
              <w:t>7</w:t>
            </w:r>
          </w:p>
        </w:tc>
        <w:tc>
          <w:tcPr>
            <w:tcW w:w="946" w:type="pct"/>
            <w:vAlign w:val="center"/>
          </w:tcPr>
          <w:p w14:paraId="0E38DCE6">
            <w:pPr>
              <w:adjustRightInd w:val="0"/>
              <w:snapToGrid w:val="0"/>
              <w:jc w:val="center"/>
              <w:rPr>
                <w:rFonts w:eastAsia="仿宋"/>
                <w:szCs w:val="21"/>
              </w:rPr>
            </w:pPr>
            <w:r>
              <w:rPr>
                <w:rFonts w:eastAsia="仿宋"/>
                <w:szCs w:val="21"/>
              </w:rPr>
              <w:t>结构振动检测</w:t>
            </w:r>
          </w:p>
        </w:tc>
        <w:tc>
          <w:tcPr>
            <w:tcW w:w="3213" w:type="pct"/>
            <w:vAlign w:val="center"/>
          </w:tcPr>
          <w:p w14:paraId="367F2A37">
            <w:pPr>
              <w:adjustRightInd w:val="0"/>
              <w:snapToGrid w:val="0"/>
              <w:jc w:val="left"/>
              <w:rPr>
                <w:rFonts w:eastAsia="仿宋"/>
                <w:szCs w:val="21"/>
              </w:rPr>
            </w:pPr>
            <w:r>
              <w:rPr>
                <w:rFonts w:eastAsia="仿宋"/>
                <w:szCs w:val="21"/>
              </w:rPr>
              <w:t>采用位移传感器、速度传感器、加速度传感器等，检测结构振动量（位移、速度、加速度、动应力等）或结构自振特性（自振频率、阻尼比、振型等）</w:t>
            </w:r>
          </w:p>
        </w:tc>
        <w:tc>
          <w:tcPr>
            <w:tcW w:w="506" w:type="pct"/>
            <w:vMerge w:val="continue"/>
            <w:tcBorders/>
            <w:vAlign w:val="center"/>
          </w:tcPr>
          <w:p w14:paraId="47833E78">
            <w:pPr>
              <w:adjustRightInd w:val="0"/>
              <w:snapToGrid w:val="0"/>
              <w:jc w:val="center"/>
              <w:rPr>
                <w:rFonts w:eastAsia="仿宋"/>
                <w:szCs w:val="21"/>
              </w:rPr>
            </w:pPr>
          </w:p>
        </w:tc>
      </w:tr>
    </w:tbl>
    <w:p w14:paraId="588F22AA">
      <w:pPr>
        <w:spacing w:line="360" w:lineRule="auto"/>
        <w:jc w:val="center"/>
        <w:rPr>
          <w:rFonts w:eastAsia="仿宋"/>
          <w:b/>
          <w:bCs/>
          <w:kern w:val="0"/>
          <w:szCs w:val="21"/>
        </w:rPr>
      </w:pPr>
      <w:r>
        <w:rPr>
          <w:rFonts w:eastAsia="仿宋"/>
          <w:b/>
          <w:bCs/>
          <w:kern w:val="0"/>
          <w:szCs w:val="21"/>
        </w:rPr>
        <w:t>表8 电气设施检测内容汇总表</w:t>
      </w:r>
    </w:p>
    <w:tbl>
      <w:tblPr>
        <w:tblStyle w:val="5"/>
        <w:tblpPr w:leftFromText="180" w:rightFromText="180" w:vertAnchor="text" w:tblpY="1"/>
        <w:tblOverlap w:val="never"/>
        <w:tblW w:w="50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4"/>
        <w:gridCol w:w="1721"/>
        <w:gridCol w:w="5267"/>
        <w:gridCol w:w="794"/>
      </w:tblGrid>
      <w:tr w14:paraId="4614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2" w:type="pct"/>
            <w:vAlign w:val="center"/>
          </w:tcPr>
          <w:p w14:paraId="0631B2B2">
            <w:pPr>
              <w:adjustRightInd w:val="0"/>
              <w:snapToGrid w:val="0"/>
              <w:jc w:val="center"/>
              <w:rPr>
                <w:rFonts w:eastAsia="仿宋"/>
                <w:b/>
                <w:bCs/>
                <w:szCs w:val="21"/>
              </w:rPr>
            </w:pPr>
            <w:r>
              <w:rPr>
                <w:rFonts w:eastAsia="仿宋"/>
                <w:b/>
                <w:bCs/>
                <w:szCs w:val="21"/>
              </w:rPr>
              <w:t>序号</w:t>
            </w:r>
          </w:p>
        </w:tc>
        <w:tc>
          <w:tcPr>
            <w:tcW w:w="1032" w:type="pct"/>
            <w:vAlign w:val="center"/>
          </w:tcPr>
          <w:p w14:paraId="3BA10F76">
            <w:pPr>
              <w:adjustRightInd w:val="0"/>
              <w:snapToGrid w:val="0"/>
              <w:jc w:val="center"/>
              <w:rPr>
                <w:rFonts w:eastAsia="仿宋"/>
                <w:b/>
                <w:bCs/>
                <w:szCs w:val="21"/>
              </w:rPr>
            </w:pPr>
            <w:r>
              <w:rPr>
                <w:rFonts w:eastAsia="仿宋"/>
                <w:b/>
                <w:bCs/>
                <w:szCs w:val="21"/>
              </w:rPr>
              <w:t>项目</w:t>
            </w:r>
          </w:p>
        </w:tc>
        <w:tc>
          <w:tcPr>
            <w:tcW w:w="3158" w:type="pct"/>
            <w:vAlign w:val="center"/>
          </w:tcPr>
          <w:p w14:paraId="2CDAEF92">
            <w:pPr>
              <w:adjustRightInd w:val="0"/>
              <w:snapToGrid w:val="0"/>
              <w:jc w:val="center"/>
              <w:rPr>
                <w:rFonts w:eastAsia="仿宋"/>
                <w:b/>
                <w:bCs/>
                <w:szCs w:val="21"/>
              </w:rPr>
            </w:pPr>
            <w:r>
              <w:rPr>
                <w:rFonts w:eastAsia="仿宋"/>
                <w:b/>
                <w:bCs/>
                <w:szCs w:val="21"/>
              </w:rPr>
              <w:t>检测内容或方法</w:t>
            </w:r>
          </w:p>
        </w:tc>
        <w:tc>
          <w:tcPr>
            <w:tcW w:w="476" w:type="pct"/>
          </w:tcPr>
          <w:p w14:paraId="66257560">
            <w:pPr>
              <w:adjustRightInd w:val="0"/>
              <w:snapToGrid w:val="0"/>
              <w:jc w:val="center"/>
              <w:rPr>
                <w:rFonts w:eastAsia="仿宋"/>
                <w:b/>
                <w:bCs/>
                <w:szCs w:val="21"/>
              </w:rPr>
            </w:pPr>
            <w:r>
              <w:rPr>
                <w:rFonts w:eastAsia="仿宋"/>
                <w:b/>
                <w:bCs/>
                <w:szCs w:val="21"/>
              </w:rPr>
              <w:t>周期（年）</w:t>
            </w:r>
          </w:p>
        </w:tc>
      </w:tr>
      <w:tr w14:paraId="7328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2" w:type="pct"/>
            <w:vAlign w:val="center"/>
          </w:tcPr>
          <w:p w14:paraId="26FDCD4A">
            <w:pPr>
              <w:adjustRightInd w:val="0"/>
              <w:snapToGrid w:val="0"/>
              <w:jc w:val="center"/>
              <w:rPr>
                <w:rFonts w:eastAsia="仿宋"/>
                <w:szCs w:val="21"/>
              </w:rPr>
            </w:pPr>
            <w:r>
              <w:rPr>
                <w:rFonts w:eastAsia="仿宋"/>
                <w:szCs w:val="21"/>
              </w:rPr>
              <w:t>1</w:t>
            </w:r>
          </w:p>
        </w:tc>
        <w:tc>
          <w:tcPr>
            <w:tcW w:w="1032" w:type="pct"/>
            <w:shd w:val="clear" w:color="auto" w:fill="auto"/>
            <w:vAlign w:val="center"/>
          </w:tcPr>
          <w:p w14:paraId="71B956B0">
            <w:pPr>
              <w:adjustRightInd w:val="0"/>
              <w:snapToGrid w:val="0"/>
              <w:jc w:val="center"/>
              <w:rPr>
                <w:rFonts w:eastAsia="仿宋"/>
                <w:szCs w:val="21"/>
              </w:rPr>
            </w:pPr>
            <w:r>
              <w:rPr>
                <w:rFonts w:eastAsia="仿宋"/>
                <w:szCs w:val="21"/>
              </w:rPr>
              <w:t>巡视检查</w:t>
            </w:r>
          </w:p>
        </w:tc>
        <w:tc>
          <w:tcPr>
            <w:tcW w:w="3158" w:type="pct"/>
            <w:shd w:val="clear" w:color="auto" w:fill="auto"/>
            <w:vAlign w:val="center"/>
          </w:tcPr>
          <w:p w14:paraId="6E3F90BA">
            <w:pPr>
              <w:adjustRightInd w:val="0"/>
              <w:snapToGrid w:val="0"/>
              <w:jc w:val="left"/>
              <w:rPr>
                <w:rFonts w:eastAsia="仿宋"/>
                <w:szCs w:val="21"/>
              </w:rPr>
            </w:pPr>
            <w:r>
              <w:rPr>
                <w:rFonts w:eastAsia="仿宋"/>
                <w:szCs w:val="21"/>
              </w:rPr>
              <w:t>采用目测、耳听等方法检查电气屏柜电压、电流和温升等情况</w:t>
            </w:r>
          </w:p>
        </w:tc>
        <w:tc>
          <w:tcPr>
            <w:tcW w:w="476" w:type="pct"/>
            <w:vMerge w:val="restart"/>
            <w:vAlign w:val="center"/>
          </w:tcPr>
          <w:p w14:paraId="14C73352">
            <w:pPr>
              <w:adjustRightInd w:val="0"/>
              <w:snapToGrid w:val="0"/>
              <w:jc w:val="center"/>
              <w:rPr>
                <w:rFonts w:eastAsia="仿宋"/>
                <w:szCs w:val="21"/>
              </w:rPr>
            </w:pPr>
            <w:r>
              <w:rPr>
                <w:rFonts w:hint="eastAsia" w:eastAsia="仿宋"/>
                <w:szCs w:val="21"/>
              </w:rPr>
              <w:t>船闸运行时间不大于35年的每3年检测1次；</w:t>
            </w:r>
          </w:p>
          <w:p w14:paraId="21B3BE18">
            <w:pPr>
              <w:adjustRightInd w:val="0"/>
              <w:snapToGrid w:val="0"/>
              <w:jc w:val="center"/>
              <w:rPr>
                <w:rFonts w:eastAsia="仿宋"/>
                <w:szCs w:val="21"/>
              </w:rPr>
            </w:pPr>
            <w:r>
              <w:rPr>
                <w:rFonts w:hint="eastAsia" w:eastAsia="仿宋"/>
                <w:szCs w:val="21"/>
              </w:rPr>
              <w:t>船闸运行时间大于35年的每1年检测1次。</w:t>
            </w:r>
          </w:p>
        </w:tc>
      </w:tr>
      <w:tr w14:paraId="2FFE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2" w:type="pct"/>
            <w:vAlign w:val="center"/>
          </w:tcPr>
          <w:p w14:paraId="6A4A3DE0">
            <w:pPr>
              <w:adjustRightInd w:val="0"/>
              <w:snapToGrid w:val="0"/>
              <w:jc w:val="center"/>
              <w:rPr>
                <w:rFonts w:eastAsia="仿宋"/>
                <w:szCs w:val="21"/>
              </w:rPr>
            </w:pPr>
            <w:r>
              <w:rPr>
                <w:rFonts w:eastAsia="仿宋"/>
                <w:szCs w:val="21"/>
              </w:rPr>
              <w:t>2</w:t>
            </w:r>
          </w:p>
        </w:tc>
        <w:tc>
          <w:tcPr>
            <w:tcW w:w="1032" w:type="pct"/>
            <w:vAlign w:val="center"/>
          </w:tcPr>
          <w:p w14:paraId="3D34B914">
            <w:pPr>
              <w:adjustRightInd w:val="0"/>
              <w:snapToGrid w:val="0"/>
              <w:jc w:val="center"/>
              <w:rPr>
                <w:rFonts w:eastAsia="仿宋"/>
                <w:szCs w:val="21"/>
              </w:rPr>
            </w:pPr>
            <w:r>
              <w:rPr>
                <w:rFonts w:eastAsia="仿宋"/>
                <w:szCs w:val="21"/>
              </w:rPr>
              <w:t>变压器检测</w:t>
            </w:r>
          </w:p>
        </w:tc>
        <w:tc>
          <w:tcPr>
            <w:tcW w:w="3158" w:type="pct"/>
            <w:vAlign w:val="center"/>
          </w:tcPr>
          <w:p w14:paraId="2AAD1407">
            <w:pPr>
              <w:adjustRightInd w:val="0"/>
              <w:snapToGrid w:val="0"/>
              <w:jc w:val="left"/>
              <w:rPr>
                <w:rFonts w:eastAsia="仿宋"/>
                <w:szCs w:val="21"/>
              </w:rPr>
            </w:pPr>
            <w:r>
              <w:rPr>
                <w:rFonts w:eastAsia="仿宋"/>
                <w:szCs w:val="21"/>
              </w:rPr>
              <w:t>变压器检测应包括绕组绝缘电阻检测、绕组直流电阻检测和交流耐压试验。</w:t>
            </w:r>
          </w:p>
        </w:tc>
        <w:tc>
          <w:tcPr>
            <w:tcW w:w="476" w:type="pct"/>
            <w:vMerge w:val="continue"/>
            <w:tcBorders/>
            <w:vAlign w:val="center"/>
          </w:tcPr>
          <w:p w14:paraId="4CE60943">
            <w:pPr>
              <w:adjustRightInd w:val="0"/>
              <w:snapToGrid w:val="0"/>
              <w:jc w:val="center"/>
              <w:rPr>
                <w:rFonts w:eastAsia="仿宋"/>
                <w:szCs w:val="21"/>
              </w:rPr>
            </w:pPr>
          </w:p>
        </w:tc>
      </w:tr>
      <w:tr w14:paraId="4BD5E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2" w:type="pct"/>
            <w:vAlign w:val="center"/>
          </w:tcPr>
          <w:p w14:paraId="47615A25">
            <w:pPr>
              <w:adjustRightInd w:val="0"/>
              <w:snapToGrid w:val="0"/>
              <w:jc w:val="center"/>
              <w:rPr>
                <w:rFonts w:eastAsia="仿宋"/>
                <w:szCs w:val="21"/>
              </w:rPr>
            </w:pPr>
            <w:r>
              <w:rPr>
                <w:rFonts w:eastAsia="仿宋"/>
                <w:szCs w:val="21"/>
              </w:rPr>
              <w:t>3</w:t>
            </w:r>
          </w:p>
        </w:tc>
        <w:tc>
          <w:tcPr>
            <w:tcW w:w="1032" w:type="pct"/>
            <w:vAlign w:val="center"/>
          </w:tcPr>
          <w:p w14:paraId="7CCC25E3">
            <w:pPr>
              <w:adjustRightInd w:val="0"/>
              <w:snapToGrid w:val="0"/>
              <w:jc w:val="center"/>
              <w:rPr>
                <w:rFonts w:eastAsia="仿宋"/>
                <w:szCs w:val="21"/>
              </w:rPr>
            </w:pPr>
            <w:r>
              <w:rPr>
                <w:rFonts w:eastAsia="仿宋"/>
                <w:szCs w:val="21"/>
              </w:rPr>
              <w:t>真空断路器检测</w:t>
            </w:r>
          </w:p>
        </w:tc>
        <w:tc>
          <w:tcPr>
            <w:tcW w:w="3158" w:type="pct"/>
            <w:vAlign w:val="center"/>
          </w:tcPr>
          <w:p w14:paraId="3ED67D9C">
            <w:pPr>
              <w:adjustRightInd w:val="0"/>
              <w:snapToGrid w:val="0"/>
              <w:jc w:val="left"/>
              <w:rPr>
                <w:rFonts w:eastAsia="仿宋"/>
                <w:szCs w:val="21"/>
              </w:rPr>
            </w:pPr>
            <w:r>
              <w:rPr>
                <w:rFonts w:eastAsia="仿宋"/>
                <w:szCs w:val="21"/>
              </w:rPr>
              <w:t>真空断路器检测应包括绝缘检测、导电回路电阻检测和交流耐压试验。</w:t>
            </w:r>
          </w:p>
        </w:tc>
        <w:tc>
          <w:tcPr>
            <w:tcW w:w="476" w:type="pct"/>
            <w:vMerge w:val="continue"/>
            <w:tcBorders/>
            <w:vAlign w:val="center"/>
          </w:tcPr>
          <w:p w14:paraId="459DA529">
            <w:pPr>
              <w:adjustRightInd w:val="0"/>
              <w:snapToGrid w:val="0"/>
              <w:jc w:val="center"/>
              <w:rPr>
                <w:rFonts w:eastAsia="仿宋"/>
                <w:szCs w:val="21"/>
              </w:rPr>
            </w:pPr>
          </w:p>
        </w:tc>
      </w:tr>
      <w:tr w14:paraId="77E9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2" w:type="pct"/>
            <w:vAlign w:val="center"/>
          </w:tcPr>
          <w:p w14:paraId="681BBF52">
            <w:pPr>
              <w:adjustRightInd w:val="0"/>
              <w:snapToGrid w:val="0"/>
              <w:jc w:val="center"/>
              <w:rPr>
                <w:rFonts w:eastAsia="仿宋"/>
                <w:szCs w:val="21"/>
              </w:rPr>
            </w:pPr>
            <w:r>
              <w:rPr>
                <w:rFonts w:eastAsia="仿宋"/>
                <w:szCs w:val="21"/>
              </w:rPr>
              <w:t>4</w:t>
            </w:r>
          </w:p>
        </w:tc>
        <w:tc>
          <w:tcPr>
            <w:tcW w:w="1032" w:type="pct"/>
            <w:vAlign w:val="center"/>
          </w:tcPr>
          <w:p w14:paraId="0B87A9A0">
            <w:pPr>
              <w:adjustRightInd w:val="0"/>
              <w:snapToGrid w:val="0"/>
              <w:jc w:val="center"/>
              <w:rPr>
                <w:rFonts w:eastAsia="仿宋"/>
                <w:szCs w:val="21"/>
              </w:rPr>
            </w:pPr>
            <w:r>
              <w:rPr>
                <w:rFonts w:eastAsia="仿宋"/>
                <w:szCs w:val="21"/>
              </w:rPr>
              <w:t>电力电缆检测</w:t>
            </w:r>
          </w:p>
        </w:tc>
        <w:tc>
          <w:tcPr>
            <w:tcW w:w="3158" w:type="pct"/>
            <w:vAlign w:val="center"/>
          </w:tcPr>
          <w:p w14:paraId="6E8303C3">
            <w:pPr>
              <w:adjustRightInd w:val="0"/>
              <w:snapToGrid w:val="0"/>
              <w:jc w:val="left"/>
              <w:rPr>
                <w:rFonts w:eastAsia="仿宋"/>
                <w:szCs w:val="21"/>
              </w:rPr>
            </w:pPr>
            <w:r>
              <w:rPr>
                <w:rFonts w:eastAsia="仿宋"/>
                <w:szCs w:val="21"/>
              </w:rPr>
              <w:t>电力电缆检测应包括10kV 电力电缆检测和O.4kV电力电缆检测。10kV电力电缆检测应包括绝缘电阻检测和直流耐压试验 ；O.4kV电力电缆出现电缆护套层明显破损或挤压变形时应进行绝缘检测。</w:t>
            </w:r>
          </w:p>
        </w:tc>
        <w:tc>
          <w:tcPr>
            <w:tcW w:w="476" w:type="pct"/>
            <w:vMerge w:val="continue"/>
            <w:tcBorders/>
            <w:vAlign w:val="center"/>
          </w:tcPr>
          <w:p w14:paraId="3334493A">
            <w:pPr>
              <w:adjustRightInd w:val="0"/>
              <w:snapToGrid w:val="0"/>
              <w:jc w:val="center"/>
              <w:rPr>
                <w:rFonts w:eastAsia="仿宋"/>
                <w:szCs w:val="21"/>
              </w:rPr>
            </w:pPr>
          </w:p>
        </w:tc>
      </w:tr>
      <w:tr w14:paraId="4CE7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2" w:type="pct"/>
            <w:vAlign w:val="center"/>
          </w:tcPr>
          <w:p w14:paraId="652CE075">
            <w:pPr>
              <w:adjustRightInd w:val="0"/>
              <w:snapToGrid w:val="0"/>
              <w:jc w:val="center"/>
              <w:rPr>
                <w:rFonts w:eastAsia="仿宋"/>
                <w:szCs w:val="21"/>
              </w:rPr>
            </w:pPr>
            <w:r>
              <w:rPr>
                <w:rFonts w:eastAsia="仿宋"/>
                <w:szCs w:val="21"/>
              </w:rPr>
              <w:t>5</w:t>
            </w:r>
          </w:p>
        </w:tc>
        <w:tc>
          <w:tcPr>
            <w:tcW w:w="1032" w:type="pct"/>
            <w:vAlign w:val="center"/>
          </w:tcPr>
          <w:p w14:paraId="05ABE184">
            <w:pPr>
              <w:adjustRightInd w:val="0"/>
              <w:snapToGrid w:val="0"/>
              <w:jc w:val="center"/>
              <w:rPr>
                <w:rFonts w:eastAsia="仿宋"/>
                <w:szCs w:val="21"/>
              </w:rPr>
            </w:pPr>
            <w:r>
              <w:rPr>
                <w:rFonts w:eastAsia="仿宋"/>
                <w:szCs w:val="21"/>
              </w:rPr>
              <w:t>继电保护装置检测</w:t>
            </w:r>
          </w:p>
        </w:tc>
        <w:tc>
          <w:tcPr>
            <w:tcW w:w="3158" w:type="pct"/>
            <w:vAlign w:val="center"/>
          </w:tcPr>
          <w:p w14:paraId="2DF745D8">
            <w:pPr>
              <w:adjustRightInd w:val="0"/>
              <w:snapToGrid w:val="0"/>
              <w:jc w:val="left"/>
              <w:rPr>
                <w:rFonts w:eastAsia="仿宋"/>
                <w:szCs w:val="21"/>
              </w:rPr>
            </w:pPr>
            <w:r>
              <w:rPr>
                <w:rFonts w:eastAsia="仿宋"/>
                <w:szCs w:val="21"/>
              </w:rPr>
              <w:t>继电保护装置检测包括电流速断保护检测、过负荷保护检测、反时限过电流保护检测和保护整组试验</w:t>
            </w:r>
          </w:p>
        </w:tc>
        <w:tc>
          <w:tcPr>
            <w:tcW w:w="476" w:type="pct"/>
            <w:vMerge w:val="continue"/>
            <w:tcBorders/>
            <w:vAlign w:val="center"/>
          </w:tcPr>
          <w:p w14:paraId="023F2E7D">
            <w:pPr>
              <w:adjustRightInd w:val="0"/>
              <w:snapToGrid w:val="0"/>
              <w:jc w:val="center"/>
              <w:rPr>
                <w:rFonts w:eastAsia="仿宋"/>
                <w:szCs w:val="21"/>
              </w:rPr>
            </w:pPr>
          </w:p>
        </w:tc>
      </w:tr>
      <w:tr w14:paraId="2F1B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332" w:type="pct"/>
            <w:vAlign w:val="center"/>
          </w:tcPr>
          <w:p w14:paraId="591D5A0B">
            <w:pPr>
              <w:adjustRightInd w:val="0"/>
              <w:snapToGrid w:val="0"/>
              <w:jc w:val="center"/>
              <w:rPr>
                <w:rFonts w:eastAsia="仿宋"/>
                <w:szCs w:val="21"/>
              </w:rPr>
            </w:pPr>
            <w:r>
              <w:rPr>
                <w:rFonts w:eastAsia="仿宋"/>
                <w:szCs w:val="21"/>
              </w:rPr>
              <w:t>6</w:t>
            </w:r>
          </w:p>
        </w:tc>
        <w:tc>
          <w:tcPr>
            <w:tcW w:w="1032" w:type="pct"/>
            <w:vAlign w:val="center"/>
          </w:tcPr>
          <w:p w14:paraId="5614508E">
            <w:pPr>
              <w:adjustRightInd w:val="0"/>
              <w:snapToGrid w:val="0"/>
              <w:jc w:val="center"/>
              <w:rPr>
                <w:rFonts w:eastAsia="仿宋"/>
                <w:szCs w:val="21"/>
              </w:rPr>
            </w:pPr>
            <w:r>
              <w:rPr>
                <w:rFonts w:eastAsia="仿宋"/>
                <w:szCs w:val="21"/>
              </w:rPr>
              <w:t>防雷与接地装置安全检测</w:t>
            </w:r>
          </w:p>
        </w:tc>
        <w:tc>
          <w:tcPr>
            <w:tcW w:w="3158" w:type="pct"/>
            <w:vAlign w:val="center"/>
          </w:tcPr>
          <w:p w14:paraId="64633B63">
            <w:pPr>
              <w:adjustRightInd w:val="0"/>
              <w:snapToGrid w:val="0"/>
              <w:jc w:val="left"/>
              <w:rPr>
                <w:rFonts w:eastAsia="仿宋"/>
                <w:szCs w:val="21"/>
              </w:rPr>
            </w:pPr>
            <w:r>
              <w:rPr>
                <w:rFonts w:eastAsia="仿宋"/>
                <w:szCs w:val="21"/>
              </w:rPr>
              <w:t>防雷与接地装置安全检测主要包括接地电阻检测和避雷器绝缘电阻检测等。</w:t>
            </w:r>
          </w:p>
        </w:tc>
        <w:tc>
          <w:tcPr>
            <w:tcW w:w="476" w:type="pct"/>
            <w:vMerge w:val="continue"/>
            <w:tcBorders/>
            <w:vAlign w:val="center"/>
          </w:tcPr>
          <w:p w14:paraId="4DEA4312">
            <w:pPr>
              <w:adjustRightInd w:val="0"/>
              <w:snapToGrid w:val="0"/>
              <w:jc w:val="center"/>
              <w:rPr>
                <w:rFonts w:eastAsia="仿宋"/>
                <w:szCs w:val="21"/>
              </w:rPr>
            </w:pPr>
          </w:p>
        </w:tc>
      </w:tr>
    </w:tbl>
    <w:p w14:paraId="5A3705B2">
      <w:pPr>
        <w:spacing w:line="360" w:lineRule="auto"/>
        <w:ind w:firstLine="562" w:firstLineChars="200"/>
        <w:rPr>
          <w:rFonts w:eastAsia="仿宋"/>
          <w:b/>
          <w:bCs/>
          <w:kern w:val="0"/>
          <w:sz w:val="28"/>
          <w:szCs w:val="28"/>
        </w:rPr>
      </w:pPr>
      <w:r>
        <w:rPr>
          <w:rFonts w:eastAsia="仿宋"/>
          <w:b/>
          <w:bCs/>
          <w:kern w:val="0"/>
          <w:sz w:val="28"/>
          <w:szCs w:val="28"/>
        </w:rPr>
        <w:t>（4）评估复核</w:t>
      </w:r>
    </w:p>
    <w:p w14:paraId="0BE267C4">
      <w:pPr>
        <w:spacing w:line="360" w:lineRule="auto"/>
        <w:ind w:firstLine="560" w:firstLineChars="200"/>
        <w:rPr>
          <w:rFonts w:eastAsia="仿宋"/>
          <w:kern w:val="0"/>
          <w:sz w:val="28"/>
          <w:szCs w:val="28"/>
        </w:rPr>
      </w:pPr>
      <w:r>
        <w:rPr>
          <w:rFonts w:eastAsia="仿宋"/>
          <w:kern w:val="0"/>
          <w:sz w:val="28"/>
          <w:szCs w:val="28"/>
        </w:rPr>
        <w:t>根据检测结果对船闸结构安全性、耐久性和适用性指标进行状态评定或复核计算，船闸评估复核包括水工建筑物安全性评估分级（如表9所示）、水工建筑物耐久性评估分级（如表10所示）、水工建筑物适用性评估分级（如表11所示）、闸阀门安全性评估分级（如表12所示）、闸阀门耐久性评估分级（如表13所示）。并对评估复核做出了相关方法和要求作出了规定。</w:t>
      </w:r>
    </w:p>
    <w:p w14:paraId="07B3857A">
      <w:pPr>
        <w:spacing w:line="360" w:lineRule="auto"/>
        <w:jc w:val="center"/>
        <w:rPr>
          <w:rFonts w:eastAsia="仿宋"/>
          <w:b/>
          <w:bCs/>
          <w:kern w:val="0"/>
          <w:szCs w:val="21"/>
        </w:rPr>
      </w:pPr>
      <w:r>
        <w:rPr>
          <w:rFonts w:eastAsia="仿宋"/>
          <w:b/>
          <w:bCs/>
          <w:kern w:val="0"/>
          <w:szCs w:val="21"/>
        </w:rPr>
        <w:t>表9 水工建筑物安全性评估分级标准</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7"/>
        <w:gridCol w:w="1338"/>
        <w:gridCol w:w="2012"/>
        <w:gridCol w:w="1900"/>
        <w:gridCol w:w="1370"/>
      </w:tblGrid>
      <w:tr w14:paraId="12D0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3" w:type="pct"/>
            <w:tcBorders>
              <w:tl2br w:val="single" w:color="auto" w:sz="4" w:space="0"/>
            </w:tcBorders>
            <w:vAlign w:val="center"/>
          </w:tcPr>
          <w:p w14:paraId="0D144070">
            <w:pPr>
              <w:ind w:firstLine="1248" w:firstLineChars="592"/>
              <w:rPr>
                <w:rFonts w:eastAsia="仿宋"/>
                <w:b/>
                <w:szCs w:val="21"/>
              </w:rPr>
            </w:pPr>
            <w:r>
              <w:rPr>
                <w:rFonts w:eastAsia="仿宋"/>
                <w:b/>
                <w:szCs w:val="21"/>
              </w:rPr>
              <w:t>等级</w:t>
            </w:r>
          </w:p>
          <w:p w14:paraId="5CF8B51E">
            <w:pPr>
              <w:ind w:firstLine="103" w:firstLineChars="49"/>
              <w:rPr>
                <w:rFonts w:eastAsia="仿宋"/>
                <w:b/>
                <w:szCs w:val="21"/>
              </w:rPr>
            </w:pPr>
            <w:r>
              <w:rPr>
                <w:rFonts w:eastAsia="仿宋"/>
                <w:b/>
                <w:szCs w:val="21"/>
              </w:rPr>
              <w:t>项目</w:t>
            </w:r>
          </w:p>
        </w:tc>
        <w:tc>
          <w:tcPr>
            <w:tcW w:w="785" w:type="pct"/>
            <w:vAlign w:val="center"/>
          </w:tcPr>
          <w:p w14:paraId="4C493516">
            <w:pPr>
              <w:jc w:val="center"/>
              <w:rPr>
                <w:rFonts w:eastAsia="仿宋"/>
                <w:b/>
                <w:szCs w:val="21"/>
              </w:rPr>
            </w:pPr>
            <w:r>
              <w:rPr>
                <w:rFonts w:eastAsia="仿宋"/>
                <w:b/>
                <w:szCs w:val="21"/>
              </w:rPr>
              <w:t>A级</w:t>
            </w:r>
          </w:p>
        </w:tc>
        <w:tc>
          <w:tcPr>
            <w:tcW w:w="1181" w:type="pct"/>
            <w:vAlign w:val="center"/>
          </w:tcPr>
          <w:p w14:paraId="2F866A21">
            <w:pPr>
              <w:jc w:val="center"/>
              <w:rPr>
                <w:rFonts w:eastAsia="仿宋"/>
                <w:b/>
                <w:szCs w:val="21"/>
              </w:rPr>
            </w:pPr>
            <w:r>
              <w:rPr>
                <w:rFonts w:eastAsia="仿宋"/>
                <w:b/>
                <w:szCs w:val="21"/>
              </w:rPr>
              <w:t>B级</w:t>
            </w:r>
          </w:p>
        </w:tc>
        <w:tc>
          <w:tcPr>
            <w:tcW w:w="1115" w:type="pct"/>
            <w:vAlign w:val="center"/>
          </w:tcPr>
          <w:p w14:paraId="52A2455C">
            <w:pPr>
              <w:jc w:val="center"/>
              <w:rPr>
                <w:rFonts w:eastAsia="仿宋"/>
                <w:b/>
                <w:szCs w:val="21"/>
              </w:rPr>
            </w:pPr>
            <w:r>
              <w:rPr>
                <w:rFonts w:eastAsia="仿宋"/>
                <w:b/>
                <w:szCs w:val="21"/>
              </w:rPr>
              <w:t>C级</w:t>
            </w:r>
          </w:p>
        </w:tc>
        <w:tc>
          <w:tcPr>
            <w:tcW w:w="804" w:type="pct"/>
            <w:vAlign w:val="center"/>
          </w:tcPr>
          <w:p w14:paraId="364BBE4D">
            <w:pPr>
              <w:jc w:val="center"/>
              <w:rPr>
                <w:rFonts w:eastAsia="仿宋"/>
                <w:b/>
                <w:szCs w:val="21"/>
              </w:rPr>
            </w:pPr>
            <w:r>
              <w:rPr>
                <w:rFonts w:eastAsia="仿宋"/>
                <w:b/>
                <w:szCs w:val="21"/>
              </w:rPr>
              <w:t>D级</w:t>
            </w:r>
          </w:p>
        </w:tc>
      </w:tr>
      <w:tr w14:paraId="3FC19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3" w:type="pct"/>
            <w:vAlign w:val="center"/>
          </w:tcPr>
          <w:p w14:paraId="6132F9D4">
            <w:pPr>
              <w:jc w:val="center"/>
              <w:rPr>
                <w:rFonts w:eastAsia="仿宋"/>
                <w:szCs w:val="21"/>
              </w:rPr>
            </w:pPr>
            <w:r>
              <w:rPr>
                <w:rFonts w:eastAsia="仿宋"/>
                <w:szCs w:val="21"/>
              </w:rPr>
              <w:t>安全性评估</w:t>
            </w:r>
          </w:p>
        </w:tc>
        <w:tc>
          <w:tcPr>
            <w:tcW w:w="785" w:type="pct"/>
            <w:vAlign w:val="center"/>
          </w:tcPr>
          <w:p w14:paraId="7BA71413">
            <w:pPr>
              <w:jc w:val="center"/>
              <w:rPr>
                <w:rFonts w:eastAsia="仿宋"/>
                <w:szCs w:val="21"/>
              </w:rPr>
            </w:pPr>
            <w:r>
              <w:rPr>
                <w:rFonts w:eastAsia="仿宋"/>
                <w:szCs w:val="21"/>
              </w:rPr>
              <w:t>R</w:t>
            </w:r>
            <w:r>
              <w:rPr>
                <w:rFonts w:eastAsia="仿宋"/>
                <w:szCs w:val="21"/>
                <w:vertAlign w:val="subscript"/>
              </w:rPr>
              <w:t>d</w:t>
            </w:r>
            <w:r>
              <w:rPr>
                <w:rFonts w:eastAsia="仿宋"/>
                <w:szCs w:val="21"/>
              </w:rPr>
              <w:t>/S</w:t>
            </w:r>
            <w:r>
              <w:rPr>
                <w:rFonts w:eastAsia="仿宋"/>
                <w:szCs w:val="21"/>
                <w:vertAlign w:val="subscript"/>
              </w:rPr>
              <w:t>d</w:t>
            </w:r>
            <w:r>
              <w:rPr>
                <w:rFonts w:eastAsia="仿宋"/>
                <w:szCs w:val="21"/>
              </w:rPr>
              <w:t>≥1.00</w:t>
            </w:r>
          </w:p>
        </w:tc>
        <w:tc>
          <w:tcPr>
            <w:tcW w:w="1181" w:type="pct"/>
            <w:vAlign w:val="center"/>
          </w:tcPr>
          <w:p w14:paraId="53BA29D7">
            <w:pPr>
              <w:jc w:val="center"/>
              <w:rPr>
                <w:rFonts w:eastAsia="仿宋"/>
                <w:szCs w:val="21"/>
              </w:rPr>
            </w:pPr>
            <w:r>
              <w:rPr>
                <w:rFonts w:eastAsia="仿宋"/>
                <w:szCs w:val="21"/>
              </w:rPr>
              <w:t>0.95≤R</w:t>
            </w:r>
            <w:r>
              <w:rPr>
                <w:rFonts w:eastAsia="仿宋"/>
                <w:szCs w:val="21"/>
                <w:vertAlign w:val="subscript"/>
              </w:rPr>
              <w:t>d</w:t>
            </w:r>
            <w:r>
              <w:rPr>
                <w:rFonts w:eastAsia="仿宋"/>
                <w:szCs w:val="21"/>
              </w:rPr>
              <w:t>/S</w:t>
            </w:r>
            <w:r>
              <w:rPr>
                <w:rFonts w:eastAsia="仿宋"/>
                <w:szCs w:val="21"/>
                <w:vertAlign w:val="subscript"/>
              </w:rPr>
              <w:t>d</w:t>
            </w:r>
            <w:r>
              <w:rPr>
                <w:rFonts w:eastAsia="仿宋"/>
                <w:szCs w:val="21"/>
              </w:rPr>
              <w:t>＜1.00</w:t>
            </w:r>
          </w:p>
        </w:tc>
        <w:tc>
          <w:tcPr>
            <w:tcW w:w="1115" w:type="pct"/>
            <w:vAlign w:val="center"/>
          </w:tcPr>
          <w:p w14:paraId="27E41092">
            <w:pPr>
              <w:jc w:val="center"/>
              <w:rPr>
                <w:rFonts w:eastAsia="仿宋"/>
                <w:szCs w:val="21"/>
              </w:rPr>
            </w:pPr>
            <w:r>
              <w:rPr>
                <w:rFonts w:eastAsia="仿宋"/>
                <w:szCs w:val="21"/>
              </w:rPr>
              <w:t>0.90≤R</w:t>
            </w:r>
            <w:r>
              <w:rPr>
                <w:rFonts w:eastAsia="仿宋"/>
                <w:szCs w:val="21"/>
                <w:vertAlign w:val="subscript"/>
              </w:rPr>
              <w:t>d</w:t>
            </w:r>
            <w:r>
              <w:rPr>
                <w:rFonts w:eastAsia="仿宋"/>
                <w:szCs w:val="21"/>
              </w:rPr>
              <w:t>/S</w:t>
            </w:r>
            <w:r>
              <w:rPr>
                <w:rFonts w:eastAsia="仿宋"/>
                <w:szCs w:val="21"/>
                <w:vertAlign w:val="subscript"/>
              </w:rPr>
              <w:t>d</w:t>
            </w:r>
            <w:r>
              <w:rPr>
                <w:rFonts w:eastAsia="仿宋"/>
                <w:szCs w:val="21"/>
              </w:rPr>
              <w:t>＜0.95</w:t>
            </w:r>
          </w:p>
        </w:tc>
        <w:tc>
          <w:tcPr>
            <w:tcW w:w="804" w:type="pct"/>
            <w:vAlign w:val="center"/>
          </w:tcPr>
          <w:p w14:paraId="735C875B">
            <w:pPr>
              <w:jc w:val="center"/>
              <w:rPr>
                <w:rFonts w:eastAsia="仿宋"/>
                <w:szCs w:val="21"/>
              </w:rPr>
            </w:pPr>
            <w:r>
              <w:rPr>
                <w:rFonts w:eastAsia="仿宋"/>
                <w:szCs w:val="21"/>
              </w:rPr>
              <w:t>R</w:t>
            </w:r>
            <w:r>
              <w:rPr>
                <w:rFonts w:eastAsia="仿宋"/>
                <w:szCs w:val="21"/>
                <w:vertAlign w:val="subscript"/>
              </w:rPr>
              <w:t>d</w:t>
            </w:r>
            <w:r>
              <w:rPr>
                <w:rFonts w:eastAsia="仿宋"/>
                <w:szCs w:val="21"/>
              </w:rPr>
              <w:t>/S</w:t>
            </w:r>
            <w:r>
              <w:rPr>
                <w:rFonts w:eastAsia="仿宋"/>
                <w:szCs w:val="21"/>
                <w:vertAlign w:val="subscript"/>
              </w:rPr>
              <w:t>d</w:t>
            </w:r>
            <w:r>
              <w:rPr>
                <w:rFonts w:eastAsia="仿宋"/>
                <w:szCs w:val="21"/>
              </w:rPr>
              <w:t>＜0.90</w:t>
            </w:r>
          </w:p>
        </w:tc>
      </w:tr>
    </w:tbl>
    <w:p w14:paraId="7FF743BF">
      <w:pPr>
        <w:adjustRightInd w:val="0"/>
        <w:snapToGrid w:val="0"/>
        <w:rPr>
          <w:rFonts w:eastAsia="仿宋"/>
          <w:sz w:val="18"/>
          <w:szCs w:val="18"/>
        </w:rPr>
      </w:pPr>
      <w:r>
        <w:rPr>
          <w:rFonts w:eastAsia="仿宋"/>
          <w:sz w:val="18"/>
          <w:szCs w:val="18"/>
        </w:rPr>
        <w:t>注：R</w:t>
      </w:r>
      <w:r>
        <w:rPr>
          <w:rFonts w:eastAsia="仿宋"/>
          <w:sz w:val="18"/>
          <w:szCs w:val="18"/>
          <w:vertAlign w:val="subscript"/>
        </w:rPr>
        <w:t>d</w:t>
      </w:r>
      <w:r>
        <w:rPr>
          <w:rFonts w:eastAsia="仿宋"/>
          <w:sz w:val="18"/>
          <w:szCs w:val="18"/>
        </w:rPr>
        <w:t>、S</w:t>
      </w:r>
      <w:r>
        <w:rPr>
          <w:rFonts w:eastAsia="仿宋"/>
          <w:sz w:val="18"/>
          <w:szCs w:val="18"/>
          <w:vertAlign w:val="subscript"/>
        </w:rPr>
        <w:t>d</w:t>
      </w:r>
      <w:r>
        <w:rPr>
          <w:rFonts w:eastAsia="仿宋"/>
          <w:sz w:val="18"/>
          <w:szCs w:val="18"/>
        </w:rPr>
        <w:t>分别为结构的抗力和作用效应组合设计值</w:t>
      </w:r>
    </w:p>
    <w:p w14:paraId="4BEEE056">
      <w:pPr>
        <w:spacing w:line="360" w:lineRule="auto"/>
        <w:jc w:val="center"/>
        <w:rPr>
          <w:rFonts w:eastAsia="仿宋"/>
          <w:b/>
          <w:bCs/>
          <w:kern w:val="0"/>
          <w:szCs w:val="21"/>
        </w:rPr>
      </w:pPr>
      <w:r>
        <w:rPr>
          <w:rFonts w:eastAsia="仿宋"/>
          <w:b/>
          <w:bCs/>
          <w:kern w:val="0"/>
          <w:szCs w:val="21"/>
        </w:rPr>
        <w:t>表10 水工建筑物耐久性评估分级标准</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13"/>
        <w:gridCol w:w="870"/>
        <w:gridCol w:w="1789"/>
        <w:gridCol w:w="2090"/>
        <w:gridCol w:w="2332"/>
      </w:tblGrid>
      <w:tr w14:paraId="5DF6C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840" w:type="pct"/>
            <w:gridSpan w:val="2"/>
            <w:vMerge w:val="restart"/>
            <w:vAlign w:val="center"/>
          </w:tcPr>
          <w:p w14:paraId="26211717">
            <w:pPr>
              <w:adjustRightInd w:val="0"/>
              <w:jc w:val="center"/>
              <w:rPr>
                <w:rFonts w:eastAsia="仿宋"/>
                <w:b/>
                <w:szCs w:val="21"/>
              </w:rPr>
            </w:pPr>
            <w:r>
              <w:rPr>
                <w:rFonts w:eastAsia="仿宋"/>
                <w:b/>
                <w:szCs w:val="21"/>
              </w:rPr>
              <w:t>检测项目</w:t>
            </w:r>
          </w:p>
        </w:tc>
        <w:tc>
          <w:tcPr>
            <w:tcW w:w="4159" w:type="pct"/>
            <w:gridSpan w:val="4"/>
            <w:vAlign w:val="center"/>
          </w:tcPr>
          <w:p w14:paraId="5E7F8AA5">
            <w:pPr>
              <w:adjustRightInd w:val="0"/>
              <w:jc w:val="center"/>
              <w:rPr>
                <w:rFonts w:eastAsia="仿宋"/>
                <w:b/>
                <w:szCs w:val="21"/>
              </w:rPr>
            </w:pPr>
            <w:r>
              <w:rPr>
                <w:rFonts w:eastAsia="仿宋"/>
                <w:b/>
                <w:szCs w:val="21"/>
              </w:rPr>
              <w:t>等 级</w:t>
            </w:r>
          </w:p>
        </w:tc>
      </w:tr>
      <w:tr w14:paraId="63AF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840" w:type="pct"/>
            <w:gridSpan w:val="2"/>
            <w:vMerge w:val="continue"/>
            <w:vAlign w:val="center"/>
          </w:tcPr>
          <w:p w14:paraId="600124CA">
            <w:pPr>
              <w:adjustRightInd w:val="0"/>
              <w:jc w:val="center"/>
              <w:rPr>
                <w:rFonts w:eastAsia="仿宋"/>
                <w:b/>
                <w:szCs w:val="21"/>
              </w:rPr>
            </w:pPr>
          </w:p>
        </w:tc>
        <w:tc>
          <w:tcPr>
            <w:tcW w:w="476" w:type="pct"/>
            <w:vAlign w:val="center"/>
          </w:tcPr>
          <w:p w14:paraId="26ED3253">
            <w:pPr>
              <w:jc w:val="center"/>
              <w:rPr>
                <w:rFonts w:eastAsia="仿宋"/>
                <w:b/>
                <w:szCs w:val="21"/>
              </w:rPr>
            </w:pPr>
            <w:r>
              <w:rPr>
                <w:rFonts w:eastAsia="仿宋"/>
                <w:b/>
                <w:szCs w:val="21"/>
              </w:rPr>
              <w:t>A级</w:t>
            </w:r>
          </w:p>
        </w:tc>
        <w:tc>
          <w:tcPr>
            <w:tcW w:w="1063" w:type="pct"/>
            <w:vAlign w:val="center"/>
          </w:tcPr>
          <w:p w14:paraId="74B064EE">
            <w:pPr>
              <w:jc w:val="center"/>
              <w:rPr>
                <w:rFonts w:eastAsia="仿宋"/>
                <w:b/>
                <w:szCs w:val="21"/>
              </w:rPr>
            </w:pPr>
            <w:r>
              <w:rPr>
                <w:rFonts w:eastAsia="仿宋"/>
                <w:b/>
                <w:szCs w:val="21"/>
              </w:rPr>
              <w:t>B级</w:t>
            </w:r>
          </w:p>
        </w:tc>
        <w:tc>
          <w:tcPr>
            <w:tcW w:w="1239" w:type="pct"/>
            <w:vAlign w:val="center"/>
          </w:tcPr>
          <w:p w14:paraId="2E1CE2F1">
            <w:pPr>
              <w:jc w:val="center"/>
              <w:rPr>
                <w:rFonts w:eastAsia="仿宋"/>
                <w:b/>
                <w:szCs w:val="21"/>
              </w:rPr>
            </w:pPr>
            <w:r>
              <w:rPr>
                <w:rFonts w:eastAsia="仿宋"/>
                <w:b/>
                <w:szCs w:val="21"/>
              </w:rPr>
              <w:t>C级</w:t>
            </w:r>
          </w:p>
        </w:tc>
        <w:tc>
          <w:tcPr>
            <w:tcW w:w="1380" w:type="pct"/>
            <w:vAlign w:val="center"/>
          </w:tcPr>
          <w:p w14:paraId="253B015B">
            <w:pPr>
              <w:jc w:val="center"/>
              <w:rPr>
                <w:rFonts w:eastAsia="仿宋"/>
                <w:b/>
                <w:szCs w:val="21"/>
              </w:rPr>
            </w:pPr>
            <w:r>
              <w:rPr>
                <w:rFonts w:eastAsia="仿宋"/>
                <w:b/>
                <w:szCs w:val="21"/>
              </w:rPr>
              <w:t>D级</w:t>
            </w:r>
          </w:p>
        </w:tc>
      </w:tr>
      <w:tr w14:paraId="40C1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2" w:type="pct"/>
            <w:vMerge w:val="restart"/>
            <w:shd w:val="clear" w:color="auto" w:fill="auto"/>
            <w:vAlign w:val="center"/>
          </w:tcPr>
          <w:p w14:paraId="6BCB83C9">
            <w:pPr>
              <w:adjustRightInd w:val="0"/>
              <w:jc w:val="center"/>
              <w:rPr>
                <w:rFonts w:eastAsia="仿宋"/>
                <w:szCs w:val="21"/>
              </w:rPr>
            </w:pPr>
            <w:r>
              <w:rPr>
                <w:rFonts w:eastAsia="仿宋"/>
                <w:szCs w:val="21"/>
              </w:rPr>
              <w:t>外</w:t>
            </w:r>
          </w:p>
          <w:p w14:paraId="798BA728">
            <w:pPr>
              <w:adjustRightInd w:val="0"/>
              <w:jc w:val="center"/>
              <w:rPr>
                <w:rFonts w:eastAsia="仿宋"/>
                <w:szCs w:val="21"/>
              </w:rPr>
            </w:pPr>
            <w:r>
              <w:rPr>
                <w:rFonts w:eastAsia="仿宋"/>
                <w:szCs w:val="21"/>
              </w:rPr>
              <w:t>观</w:t>
            </w:r>
          </w:p>
          <w:p w14:paraId="7D98B485">
            <w:pPr>
              <w:adjustRightInd w:val="0"/>
              <w:jc w:val="center"/>
              <w:rPr>
                <w:rFonts w:eastAsia="仿宋"/>
                <w:szCs w:val="21"/>
              </w:rPr>
            </w:pPr>
            <w:r>
              <w:rPr>
                <w:rFonts w:eastAsia="仿宋"/>
                <w:szCs w:val="21"/>
              </w:rPr>
              <w:t>缺</w:t>
            </w:r>
          </w:p>
          <w:p w14:paraId="6652506B">
            <w:pPr>
              <w:adjustRightInd w:val="0"/>
              <w:jc w:val="center"/>
              <w:rPr>
                <w:rFonts w:eastAsia="仿宋"/>
                <w:szCs w:val="21"/>
              </w:rPr>
            </w:pPr>
            <w:r>
              <w:rPr>
                <w:rFonts w:eastAsia="仿宋"/>
                <w:szCs w:val="21"/>
              </w:rPr>
              <w:t>陷</w:t>
            </w:r>
          </w:p>
        </w:tc>
        <w:tc>
          <w:tcPr>
            <w:tcW w:w="607" w:type="pct"/>
            <w:vAlign w:val="center"/>
          </w:tcPr>
          <w:p w14:paraId="7EE40DAE">
            <w:pPr>
              <w:adjustRightInd w:val="0"/>
              <w:jc w:val="center"/>
              <w:rPr>
                <w:rFonts w:eastAsia="仿宋"/>
                <w:szCs w:val="21"/>
              </w:rPr>
            </w:pPr>
            <w:r>
              <w:rPr>
                <w:rFonts w:eastAsia="仿宋"/>
                <w:szCs w:val="21"/>
              </w:rPr>
              <w:t>表面裂缝</w:t>
            </w:r>
          </w:p>
        </w:tc>
        <w:tc>
          <w:tcPr>
            <w:tcW w:w="476" w:type="pct"/>
            <w:vAlign w:val="center"/>
          </w:tcPr>
          <w:p w14:paraId="0DEDD33C">
            <w:pPr>
              <w:adjustRightInd w:val="0"/>
              <w:jc w:val="left"/>
              <w:rPr>
                <w:rFonts w:eastAsia="仿宋"/>
                <w:szCs w:val="21"/>
              </w:rPr>
            </w:pPr>
            <w:r>
              <w:rPr>
                <w:rFonts w:eastAsia="仿宋"/>
                <w:szCs w:val="21"/>
              </w:rPr>
              <w:t>无</w:t>
            </w:r>
          </w:p>
        </w:tc>
        <w:tc>
          <w:tcPr>
            <w:tcW w:w="1063" w:type="pct"/>
            <w:vAlign w:val="center"/>
          </w:tcPr>
          <w:p w14:paraId="77CD648F">
            <w:pPr>
              <w:adjustRightInd w:val="0"/>
              <w:jc w:val="left"/>
              <w:rPr>
                <w:rFonts w:eastAsia="仿宋"/>
                <w:szCs w:val="21"/>
              </w:rPr>
            </w:pPr>
            <w:r>
              <w:rPr>
                <w:rFonts w:eastAsia="仿宋"/>
                <w:szCs w:val="21"/>
              </w:rPr>
              <w:t>局部有微小锈蚀裂缝，裂缝宽度小于0.3mm</w:t>
            </w:r>
          </w:p>
        </w:tc>
        <w:tc>
          <w:tcPr>
            <w:tcW w:w="1239" w:type="pct"/>
            <w:vAlign w:val="center"/>
          </w:tcPr>
          <w:p w14:paraId="1D97B1E5">
            <w:pPr>
              <w:adjustRightInd w:val="0"/>
              <w:jc w:val="left"/>
              <w:rPr>
                <w:rFonts w:eastAsia="仿宋"/>
                <w:szCs w:val="21"/>
              </w:rPr>
            </w:pPr>
            <w:r>
              <w:rPr>
                <w:rFonts w:eastAsia="仿宋"/>
                <w:szCs w:val="21"/>
              </w:rPr>
              <w:t>锈蚀裂缝较多或呈网状，裂缝宽度在0.3mm至1.0mm之间</w:t>
            </w:r>
          </w:p>
        </w:tc>
        <w:tc>
          <w:tcPr>
            <w:tcW w:w="1380" w:type="pct"/>
            <w:vAlign w:val="center"/>
          </w:tcPr>
          <w:p w14:paraId="5F90600D">
            <w:pPr>
              <w:adjustRightInd w:val="0"/>
              <w:jc w:val="left"/>
              <w:rPr>
                <w:rFonts w:eastAsia="仿宋"/>
                <w:szCs w:val="21"/>
              </w:rPr>
            </w:pPr>
            <w:r>
              <w:rPr>
                <w:rFonts w:eastAsia="仿宋"/>
                <w:szCs w:val="21"/>
              </w:rPr>
              <w:t>大面积锈蚀裂缝呈网状，裂缝宽度大于1.0mm</w:t>
            </w:r>
          </w:p>
        </w:tc>
      </w:tr>
      <w:tr w14:paraId="4286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2" w:type="pct"/>
            <w:vMerge w:val="continue"/>
            <w:shd w:val="clear" w:color="auto" w:fill="auto"/>
            <w:vAlign w:val="center"/>
          </w:tcPr>
          <w:p w14:paraId="64D45624">
            <w:pPr>
              <w:adjustRightInd w:val="0"/>
              <w:jc w:val="center"/>
              <w:rPr>
                <w:rFonts w:eastAsia="仿宋"/>
                <w:szCs w:val="21"/>
              </w:rPr>
            </w:pPr>
          </w:p>
        </w:tc>
        <w:tc>
          <w:tcPr>
            <w:tcW w:w="607" w:type="pct"/>
            <w:vAlign w:val="center"/>
          </w:tcPr>
          <w:p w14:paraId="40F992DF">
            <w:pPr>
              <w:adjustRightInd w:val="0"/>
              <w:jc w:val="center"/>
              <w:rPr>
                <w:rFonts w:eastAsia="仿宋"/>
                <w:szCs w:val="21"/>
              </w:rPr>
            </w:pPr>
            <w:r>
              <w:rPr>
                <w:rFonts w:eastAsia="仿宋"/>
                <w:szCs w:val="21"/>
              </w:rPr>
              <w:t>剥离剥落</w:t>
            </w:r>
          </w:p>
        </w:tc>
        <w:tc>
          <w:tcPr>
            <w:tcW w:w="476" w:type="pct"/>
            <w:vAlign w:val="center"/>
          </w:tcPr>
          <w:p w14:paraId="41844F27">
            <w:pPr>
              <w:jc w:val="left"/>
              <w:rPr>
                <w:rFonts w:eastAsia="仿宋"/>
                <w:szCs w:val="21"/>
              </w:rPr>
            </w:pPr>
            <w:r>
              <w:rPr>
                <w:rFonts w:eastAsia="仿宋"/>
                <w:szCs w:val="21"/>
              </w:rPr>
              <w:t>无</w:t>
            </w:r>
          </w:p>
        </w:tc>
        <w:tc>
          <w:tcPr>
            <w:tcW w:w="1063" w:type="pct"/>
            <w:vAlign w:val="center"/>
          </w:tcPr>
          <w:p w14:paraId="0BDD525A">
            <w:pPr>
              <w:adjustRightInd w:val="0"/>
              <w:jc w:val="left"/>
              <w:rPr>
                <w:rFonts w:eastAsia="仿宋"/>
                <w:szCs w:val="21"/>
              </w:rPr>
            </w:pPr>
            <w:r>
              <w:rPr>
                <w:rFonts w:eastAsia="仿宋"/>
                <w:szCs w:val="21"/>
              </w:rPr>
              <w:t>局部小面积空鼓</w:t>
            </w:r>
          </w:p>
        </w:tc>
        <w:tc>
          <w:tcPr>
            <w:tcW w:w="1239" w:type="pct"/>
            <w:vAlign w:val="center"/>
          </w:tcPr>
          <w:p w14:paraId="44AD0F9A">
            <w:pPr>
              <w:adjustRightInd w:val="0"/>
              <w:jc w:val="left"/>
              <w:rPr>
                <w:rFonts w:eastAsia="仿宋"/>
                <w:szCs w:val="21"/>
              </w:rPr>
            </w:pPr>
            <w:r>
              <w:rPr>
                <w:rFonts w:eastAsia="仿宋"/>
                <w:szCs w:val="21"/>
              </w:rPr>
              <w:t>局部有剥落，空鼓和剥落面积小于区域面积的30%</w:t>
            </w:r>
          </w:p>
        </w:tc>
        <w:tc>
          <w:tcPr>
            <w:tcW w:w="1380" w:type="pct"/>
            <w:vAlign w:val="center"/>
          </w:tcPr>
          <w:p w14:paraId="3E3C56AB">
            <w:pPr>
              <w:adjustRightInd w:val="0"/>
              <w:jc w:val="left"/>
              <w:rPr>
                <w:rFonts w:eastAsia="仿宋"/>
                <w:szCs w:val="21"/>
              </w:rPr>
            </w:pPr>
            <w:r>
              <w:rPr>
                <w:rFonts w:eastAsia="仿宋"/>
                <w:szCs w:val="21"/>
              </w:rPr>
              <w:t>大面积剥落，空鼓和剥落面积超过区域面积的30%</w:t>
            </w:r>
          </w:p>
          <w:p w14:paraId="2BD5C227">
            <w:pPr>
              <w:adjustRightInd w:val="0"/>
              <w:jc w:val="left"/>
              <w:rPr>
                <w:rFonts w:eastAsia="仿宋"/>
                <w:szCs w:val="21"/>
              </w:rPr>
            </w:pPr>
            <w:r>
              <w:rPr>
                <w:rFonts w:eastAsia="仿宋"/>
                <w:szCs w:val="21"/>
              </w:rPr>
              <w:t>以上</w:t>
            </w:r>
          </w:p>
        </w:tc>
      </w:tr>
      <w:tr w14:paraId="5F17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2" w:type="pct"/>
            <w:vMerge w:val="continue"/>
            <w:shd w:val="clear" w:color="auto" w:fill="auto"/>
            <w:vAlign w:val="center"/>
          </w:tcPr>
          <w:p w14:paraId="2D64DC27">
            <w:pPr>
              <w:adjustRightInd w:val="0"/>
              <w:jc w:val="center"/>
              <w:rPr>
                <w:rFonts w:eastAsia="仿宋"/>
                <w:szCs w:val="21"/>
              </w:rPr>
            </w:pPr>
          </w:p>
        </w:tc>
        <w:tc>
          <w:tcPr>
            <w:tcW w:w="607" w:type="pct"/>
            <w:vAlign w:val="center"/>
          </w:tcPr>
          <w:p w14:paraId="115E9EFC">
            <w:pPr>
              <w:adjustRightInd w:val="0"/>
              <w:jc w:val="center"/>
              <w:rPr>
                <w:rFonts w:eastAsia="仿宋"/>
                <w:szCs w:val="21"/>
              </w:rPr>
            </w:pPr>
            <w:r>
              <w:rPr>
                <w:rFonts w:eastAsia="仿宋"/>
                <w:szCs w:val="21"/>
              </w:rPr>
              <w:t>钢筋锈蚀表观劣化</w:t>
            </w:r>
          </w:p>
        </w:tc>
        <w:tc>
          <w:tcPr>
            <w:tcW w:w="476" w:type="pct"/>
            <w:vAlign w:val="center"/>
          </w:tcPr>
          <w:p w14:paraId="7605E2B7">
            <w:pPr>
              <w:jc w:val="left"/>
              <w:rPr>
                <w:rFonts w:eastAsia="仿宋"/>
                <w:szCs w:val="21"/>
              </w:rPr>
            </w:pPr>
            <w:r>
              <w:rPr>
                <w:rFonts w:eastAsia="仿宋"/>
                <w:szCs w:val="21"/>
              </w:rPr>
              <w:t>无</w:t>
            </w:r>
          </w:p>
        </w:tc>
        <w:tc>
          <w:tcPr>
            <w:tcW w:w="1063" w:type="pct"/>
            <w:vAlign w:val="center"/>
          </w:tcPr>
          <w:p w14:paraId="5AD77705">
            <w:pPr>
              <w:adjustRightInd w:val="0"/>
              <w:jc w:val="left"/>
              <w:rPr>
                <w:rFonts w:eastAsia="仿宋"/>
                <w:szCs w:val="21"/>
              </w:rPr>
            </w:pPr>
            <w:r>
              <w:rPr>
                <w:rFonts w:eastAsia="仿宋"/>
                <w:szCs w:val="21"/>
              </w:rPr>
              <w:t>混凝土表面可见局部锈迹</w:t>
            </w:r>
          </w:p>
        </w:tc>
        <w:tc>
          <w:tcPr>
            <w:tcW w:w="1239" w:type="pct"/>
            <w:vAlign w:val="center"/>
          </w:tcPr>
          <w:p w14:paraId="16FDF46E">
            <w:pPr>
              <w:adjustRightInd w:val="0"/>
              <w:jc w:val="left"/>
              <w:rPr>
                <w:rFonts w:eastAsia="仿宋"/>
                <w:szCs w:val="21"/>
              </w:rPr>
            </w:pPr>
            <w:r>
              <w:rPr>
                <w:rFonts w:eastAsia="仿宋"/>
                <w:szCs w:val="21"/>
              </w:rPr>
              <w:t>锈迹较多，钢筋锈蚀范围较广</w:t>
            </w:r>
          </w:p>
        </w:tc>
        <w:tc>
          <w:tcPr>
            <w:tcW w:w="1380" w:type="pct"/>
            <w:vAlign w:val="center"/>
          </w:tcPr>
          <w:p w14:paraId="2796CBDF">
            <w:pPr>
              <w:adjustRightInd w:val="0"/>
              <w:jc w:val="left"/>
              <w:rPr>
                <w:rFonts w:eastAsia="仿宋"/>
                <w:szCs w:val="21"/>
              </w:rPr>
            </w:pPr>
            <w:r>
              <w:rPr>
                <w:rFonts w:eastAsia="仿宋"/>
                <w:szCs w:val="21"/>
              </w:rPr>
              <w:t>锈迹普遍，钢筋表面大部分或全部锈蚀，钢筋截面面积明显减小</w:t>
            </w:r>
          </w:p>
        </w:tc>
      </w:tr>
      <w:tr w14:paraId="0B95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2" w:type="pct"/>
            <w:vMerge w:val="continue"/>
            <w:shd w:val="clear" w:color="auto" w:fill="auto"/>
            <w:vAlign w:val="center"/>
          </w:tcPr>
          <w:p w14:paraId="342278DB">
            <w:pPr>
              <w:adjustRightInd w:val="0"/>
              <w:jc w:val="center"/>
              <w:rPr>
                <w:rFonts w:eastAsia="仿宋"/>
                <w:szCs w:val="21"/>
              </w:rPr>
            </w:pPr>
          </w:p>
        </w:tc>
        <w:tc>
          <w:tcPr>
            <w:tcW w:w="607" w:type="pct"/>
            <w:vAlign w:val="center"/>
          </w:tcPr>
          <w:p w14:paraId="2983384F">
            <w:pPr>
              <w:adjustRightInd w:val="0"/>
              <w:jc w:val="center"/>
              <w:rPr>
                <w:rFonts w:eastAsia="仿宋"/>
                <w:szCs w:val="21"/>
              </w:rPr>
            </w:pPr>
            <w:r>
              <w:rPr>
                <w:rFonts w:eastAsia="仿宋"/>
                <w:szCs w:val="21"/>
              </w:rPr>
              <w:t>磨损情况</w:t>
            </w:r>
          </w:p>
        </w:tc>
        <w:tc>
          <w:tcPr>
            <w:tcW w:w="476" w:type="pct"/>
            <w:vAlign w:val="center"/>
          </w:tcPr>
          <w:p w14:paraId="2A1404DE">
            <w:pPr>
              <w:jc w:val="left"/>
              <w:rPr>
                <w:rFonts w:eastAsia="仿宋"/>
                <w:szCs w:val="21"/>
              </w:rPr>
            </w:pPr>
            <w:r>
              <w:rPr>
                <w:rFonts w:eastAsia="仿宋"/>
                <w:szCs w:val="21"/>
              </w:rPr>
              <w:t>轻微表面磨损</w:t>
            </w:r>
          </w:p>
        </w:tc>
        <w:tc>
          <w:tcPr>
            <w:tcW w:w="1063" w:type="pct"/>
            <w:vAlign w:val="center"/>
          </w:tcPr>
          <w:p w14:paraId="5D0B8E24">
            <w:pPr>
              <w:adjustRightInd w:val="0"/>
              <w:jc w:val="left"/>
              <w:rPr>
                <w:rFonts w:eastAsia="仿宋"/>
                <w:szCs w:val="21"/>
              </w:rPr>
            </w:pPr>
            <w:r>
              <w:rPr>
                <w:rFonts w:eastAsia="仿宋"/>
                <w:szCs w:val="21"/>
              </w:rPr>
              <w:t>磨损深度达10~20mm</w:t>
            </w:r>
          </w:p>
        </w:tc>
        <w:tc>
          <w:tcPr>
            <w:tcW w:w="1239" w:type="pct"/>
            <w:vAlign w:val="center"/>
          </w:tcPr>
          <w:p w14:paraId="1F58DE96">
            <w:pPr>
              <w:adjustRightInd w:val="0"/>
              <w:jc w:val="left"/>
              <w:rPr>
                <w:rFonts w:eastAsia="仿宋"/>
                <w:szCs w:val="21"/>
              </w:rPr>
            </w:pPr>
            <w:r>
              <w:rPr>
                <w:rFonts w:eastAsia="仿宋"/>
                <w:szCs w:val="21"/>
              </w:rPr>
              <w:t>擦损深度达20~30mm</w:t>
            </w:r>
          </w:p>
        </w:tc>
        <w:tc>
          <w:tcPr>
            <w:tcW w:w="1380" w:type="pct"/>
            <w:vAlign w:val="center"/>
          </w:tcPr>
          <w:p w14:paraId="2F5FDC5C">
            <w:pPr>
              <w:adjustRightInd w:val="0"/>
              <w:jc w:val="left"/>
              <w:rPr>
                <w:rFonts w:eastAsia="仿宋"/>
                <w:szCs w:val="21"/>
              </w:rPr>
            </w:pPr>
            <w:r>
              <w:rPr>
                <w:rFonts w:eastAsia="仿宋"/>
                <w:szCs w:val="21"/>
              </w:rPr>
              <w:t>大面积擦损且擦损深度超过30mm</w:t>
            </w:r>
          </w:p>
        </w:tc>
      </w:tr>
      <w:tr w14:paraId="5A17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0" w:type="pct"/>
            <w:gridSpan w:val="2"/>
            <w:vAlign w:val="center"/>
          </w:tcPr>
          <w:p w14:paraId="0466665A">
            <w:pPr>
              <w:adjustRightInd w:val="0"/>
              <w:jc w:val="center"/>
              <w:rPr>
                <w:rFonts w:eastAsia="仿宋"/>
                <w:szCs w:val="21"/>
              </w:rPr>
            </w:pPr>
            <w:r>
              <w:rPr>
                <w:rFonts w:eastAsia="仿宋"/>
                <w:szCs w:val="21"/>
              </w:rPr>
              <w:t>混凝土内部缺陷</w:t>
            </w:r>
          </w:p>
        </w:tc>
        <w:tc>
          <w:tcPr>
            <w:tcW w:w="476" w:type="pct"/>
            <w:vAlign w:val="center"/>
          </w:tcPr>
          <w:p w14:paraId="67713627">
            <w:pPr>
              <w:adjustRightInd w:val="0"/>
              <w:jc w:val="left"/>
              <w:rPr>
                <w:rFonts w:eastAsia="仿宋"/>
                <w:szCs w:val="21"/>
              </w:rPr>
            </w:pPr>
            <w:r>
              <w:rPr>
                <w:rFonts w:eastAsia="仿宋"/>
                <w:szCs w:val="21"/>
              </w:rPr>
              <w:t>混凝土内部完整均匀</w:t>
            </w:r>
          </w:p>
        </w:tc>
        <w:tc>
          <w:tcPr>
            <w:tcW w:w="1063" w:type="pct"/>
            <w:vAlign w:val="center"/>
          </w:tcPr>
          <w:p w14:paraId="7D375D7E">
            <w:pPr>
              <w:adjustRightInd w:val="0"/>
              <w:jc w:val="left"/>
              <w:rPr>
                <w:rFonts w:eastAsia="仿宋"/>
                <w:szCs w:val="21"/>
              </w:rPr>
            </w:pPr>
            <w:r>
              <w:rPr>
                <w:rFonts w:eastAsia="仿宋"/>
                <w:szCs w:val="21"/>
              </w:rPr>
              <w:t>混凝土内部裂隙较小，有少量不均匀现象</w:t>
            </w:r>
          </w:p>
        </w:tc>
        <w:tc>
          <w:tcPr>
            <w:tcW w:w="1239" w:type="pct"/>
            <w:vAlign w:val="center"/>
          </w:tcPr>
          <w:p w14:paraId="500A971E">
            <w:pPr>
              <w:adjustRightInd w:val="0"/>
              <w:jc w:val="left"/>
              <w:rPr>
                <w:rFonts w:eastAsia="仿宋"/>
                <w:szCs w:val="21"/>
              </w:rPr>
            </w:pPr>
            <w:r>
              <w:rPr>
                <w:rFonts w:eastAsia="仿宋"/>
                <w:szCs w:val="21"/>
              </w:rPr>
              <w:t>混凝土内部裂隙较大，存在蜂窝麻面现象</w:t>
            </w:r>
          </w:p>
        </w:tc>
        <w:tc>
          <w:tcPr>
            <w:tcW w:w="1380" w:type="pct"/>
            <w:vAlign w:val="center"/>
          </w:tcPr>
          <w:p w14:paraId="41544CEA">
            <w:pPr>
              <w:adjustRightInd w:val="0"/>
              <w:jc w:val="left"/>
              <w:rPr>
                <w:rFonts w:eastAsia="仿宋"/>
                <w:szCs w:val="21"/>
              </w:rPr>
            </w:pPr>
            <w:r>
              <w:rPr>
                <w:rFonts w:eastAsia="仿宋"/>
                <w:szCs w:val="21"/>
              </w:rPr>
              <w:t>混凝土内部破碎，蜂窝、麻面较普遍，存在空洞</w:t>
            </w:r>
          </w:p>
        </w:tc>
      </w:tr>
      <w:tr w14:paraId="59E2B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40" w:type="dxa"/>
            <w:gridSpan w:val="2"/>
            <w:vAlign w:val="center"/>
          </w:tcPr>
          <w:p w14:paraId="5291B088">
            <w:pPr>
              <w:adjustRightInd w:val="0"/>
              <w:jc w:val="center"/>
              <w:rPr>
                <w:rFonts w:eastAsia="仿宋"/>
                <w:szCs w:val="21"/>
              </w:rPr>
            </w:pPr>
            <w:r>
              <w:rPr>
                <w:rFonts w:eastAsia="仿宋"/>
                <w:szCs w:val="21"/>
              </w:rPr>
              <w:t>碳化深度</w:t>
            </w:r>
            <w:r>
              <w:rPr>
                <w:rFonts w:hint="eastAsia" w:eastAsia="仿宋"/>
                <w:szCs w:val="21"/>
              </w:rPr>
              <w:t>h</w:t>
            </w:r>
            <w:r>
              <w:rPr>
                <w:rFonts w:eastAsia="仿宋"/>
                <w:szCs w:val="21"/>
              </w:rPr>
              <w:t>（碳化深度/保护层厚度）</w:t>
            </w:r>
          </w:p>
        </w:tc>
        <w:tc>
          <w:tcPr>
            <w:tcW w:w="870" w:type="dxa"/>
            <w:vAlign w:val="center"/>
          </w:tcPr>
          <w:p w14:paraId="3A2E2A6C">
            <w:pPr>
              <w:adjustRightInd w:val="0"/>
              <w:jc w:val="left"/>
              <w:rPr>
                <w:rFonts w:eastAsia="仿宋"/>
                <w:szCs w:val="21"/>
              </w:rPr>
            </w:pPr>
            <w:r>
              <w:rPr>
                <w:rFonts w:hint="eastAsia" w:eastAsia="仿宋"/>
                <w:szCs w:val="21"/>
              </w:rPr>
              <w:t>h≤</w:t>
            </w:r>
            <w:r>
              <w:rPr>
                <w:rFonts w:eastAsia="仿宋"/>
                <w:szCs w:val="21"/>
              </w:rPr>
              <w:t>0.7</w:t>
            </w:r>
          </w:p>
        </w:tc>
        <w:tc>
          <w:tcPr>
            <w:tcW w:w="1789" w:type="dxa"/>
            <w:vAlign w:val="center"/>
          </w:tcPr>
          <w:p w14:paraId="181E42FC">
            <w:pPr>
              <w:adjustRightInd w:val="0"/>
              <w:jc w:val="left"/>
              <w:rPr>
                <w:rFonts w:eastAsia="仿宋"/>
                <w:szCs w:val="21"/>
              </w:rPr>
            </w:pPr>
            <w:r>
              <w:rPr>
                <w:rFonts w:eastAsia="仿宋"/>
                <w:szCs w:val="21"/>
              </w:rPr>
              <w:t>0.7</w:t>
            </w:r>
            <w:r>
              <w:rPr>
                <w:rFonts w:hint="eastAsia" w:eastAsia="仿宋"/>
                <w:szCs w:val="21"/>
              </w:rPr>
              <w:t>＜h≤</w:t>
            </w:r>
            <w:r>
              <w:rPr>
                <w:rFonts w:eastAsia="仿宋"/>
                <w:szCs w:val="21"/>
              </w:rPr>
              <w:t>1.2</w:t>
            </w:r>
          </w:p>
        </w:tc>
        <w:tc>
          <w:tcPr>
            <w:tcW w:w="2089" w:type="dxa"/>
            <w:vAlign w:val="center"/>
          </w:tcPr>
          <w:p w14:paraId="5BFC778A">
            <w:pPr>
              <w:adjustRightInd w:val="0"/>
              <w:jc w:val="left"/>
              <w:rPr>
                <w:rFonts w:eastAsia="仿宋"/>
                <w:szCs w:val="21"/>
              </w:rPr>
            </w:pPr>
            <w:r>
              <w:rPr>
                <w:rFonts w:eastAsia="仿宋"/>
                <w:szCs w:val="21"/>
              </w:rPr>
              <w:t>1.2</w:t>
            </w:r>
            <w:r>
              <w:rPr>
                <w:rFonts w:hint="eastAsia" w:eastAsia="仿宋"/>
                <w:szCs w:val="21"/>
              </w:rPr>
              <w:t>＜h≤</w:t>
            </w:r>
            <w:r>
              <w:rPr>
                <w:rFonts w:eastAsia="仿宋"/>
                <w:szCs w:val="21"/>
              </w:rPr>
              <w:t>1.5</w:t>
            </w:r>
          </w:p>
        </w:tc>
        <w:tc>
          <w:tcPr>
            <w:tcW w:w="2332" w:type="dxa"/>
            <w:vAlign w:val="center"/>
          </w:tcPr>
          <w:p w14:paraId="7F82D999">
            <w:pPr>
              <w:adjustRightInd w:val="0"/>
              <w:jc w:val="left"/>
              <w:rPr>
                <w:rFonts w:eastAsia="仿宋"/>
                <w:szCs w:val="21"/>
              </w:rPr>
            </w:pPr>
            <w:r>
              <w:rPr>
                <w:rFonts w:hint="eastAsia" w:eastAsia="仿宋"/>
                <w:szCs w:val="21"/>
              </w:rPr>
              <w:t>h</w:t>
            </w:r>
            <w:r>
              <w:rPr>
                <w:rFonts w:eastAsia="仿宋"/>
                <w:szCs w:val="21"/>
              </w:rPr>
              <w:t>&gt;1.5</w:t>
            </w:r>
          </w:p>
        </w:tc>
      </w:tr>
      <w:tr w14:paraId="13D3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0" w:type="pct"/>
            <w:gridSpan w:val="2"/>
            <w:vAlign w:val="center"/>
          </w:tcPr>
          <w:p w14:paraId="6949625B">
            <w:pPr>
              <w:adjustRightInd w:val="0"/>
              <w:jc w:val="center"/>
              <w:rPr>
                <w:rFonts w:eastAsia="仿宋"/>
                <w:szCs w:val="21"/>
              </w:rPr>
            </w:pPr>
            <w:r>
              <w:rPr>
                <w:rFonts w:eastAsia="仿宋"/>
                <w:szCs w:val="21"/>
              </w:rPr>
              <w:t>钢筋锈蚀程度（钢筋锈蚀电位）</w:t>
            </w:r>
          </w:p>
        </w:tc>
        <w:tc>
          <w:tcPr>
            <w:tcW w:w="476" w:type="pct"/>
            <w:vAlign w:val="center"/>
          </w:tcPr>
          <w:p w14:paraId="3F4F2FB3">
            <w:pPr>
              <w:adjustRightInd w:val="0"/>
              <w:jc w:val="left"/>
              <w:rPr>
                <w:rFonts w:eastAsia="仿宋"/>
                <w:szCs w:val="21"/>
              </w:rPr>
            </w:pPr>
            <w:r>
              <w:rPr>
                <w:rFonts w:eastAsia="仿宋"/>
                <w:szCs w:val="21"/>
              </w:rPr>
              <w:t>电位＞-150mv</w:t>
            </w:r>
          </w:p>
        </w:tc>
        <w:tc>
          <w:tcPr>
            <w:tcW w:w="1063" w:type="pct"/>
            <w:vAlign w:val="center"/>
          </w:tcPr>
          <w:p w14:paraId="5BE5BC6B">
            <w:pPr>
              <w:adjustRightInd w:val="0"/>
              <w:jc w:val="left"/>
              <w:rPr>
                <w:rFonts w:eastAsia="仿宋"/>
                <w:szCs w:val="21"/>
              </w:rPr>
            </w:pPr>
            <w:r>
              <w:rPr>
                <w:rFonts w:eastAsia="仿宋"/>
                <w:szCs w:val="21"/>
              </w:rPr>
              <w:t>电位在-150mv~-220mv之间</w:t>
            </w:r>
          </w:p>
        </w:tc>
        <w:tc>
          <w:tcPr>
            <w:tcW w:w="1239" w:type="pct"/>
            <w:vAlign w:val="center"/>
          </w:tcPr>
          <w:p w14:paraId="177A3F46">
            <w:pPr>
              <w:adjustRightInd w:val="0"/>
              <w:jc w:val="left"/>
              <w:rPr>
                <w:rFonts w:eastAsia="仿宋"/>
                <w:szCs w:val="21"/>
              </w:rPr>
            </w:pPr>
            <w:r>
              <w:rPr>
                <w:rFonts w:eastAsia="仿宋"/>
                <w:szCs w:val="21"/>
              </w:rPr>
              <w:t>电位在-220mv~-350mv之间</w:t>
            </w:r>
          </w:p>
        </w:tc>
        <w:tc>
          <w:tcPr>
            <w:tcW w:w="1380" w:type="pct"/>
            <w:vAlign w:val="center"/>
          </w:tcPr>
          <w:p w14:paraId="47DA1135">
            <w:pPr>
              <w:adjustRightInd w:val="0"/>
              <w:jc w:val="left"/>
              <w:rPr>
                <w:rFonts w:eastAsia="仿宋"/>
                <w:szCs w:val="21"/>
              </w:rPr>
            </w:pPr>
            <w:r>
              <w:rPr>
                <w:rFonts w:eastAsia="仿宋"/>
                <w:szCs w:val="21"/>
              </w:rPr>
              <w:t>电位＜-350m</w:t>
            </w:r>
          </w:p>
        </w:tc>
      </w:tr>
      <w:tr w14:paraId="49C29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0" w:type="pct"/>
            <w:gridSpan w:val="2"/>
            <w:vAlign w:val="center"/>
          </w:tcPr>
          <w:p w14:paraId="20F191F8">
            <w:pPr>
              <w:adjustRightInd w:val="0"/>
              <w:jc w:val="center"/>
              <w:rPr>
                <w:rFonts w:eastAsia="仿宋"/>
                <w:szCs w:val="21"/>
              </w:rPr>
            </w:pPr>
            <w:r>
              <w:rPr>
                <w:rFonts w:eastAsia="仿宋"/>
                <w:szCs w:val="21"/>
              </w:rPr>
              <w:t>钢筋保护层厚度</w:t>
            </w:r>
          </w:p>
        </w:tc>
        <w:tc>
          <w:tcPr>
            <w:tcW w:w="4159" w:type="pct"/>
            <w:gridSpan w:val="4"/>
            <w:vAlign w:val="center"/>
          </w:tcPr>
          <w:p w14:paraId="6E7997D4">
            <w:pPr>
              <w:adjustRightInd w:val="0"/>
              <w:jc w:val="left"/>
              <w:rPr>
                <w:rFonts w:eastAsia="仿宋"/>
                <w:szCs w:val="21"/>
              </w:rPr>
            </w:pPr>
            <w:r>
              <w:rPr>
                <w:rFonts w:eastAsia="仿宋"/>
                <w:szCs w:val="21"/>
              </w:rPr>
              <w:t>水上区、水位变动区和水下区的钢筋混凝土保护层应分别大于35mm、40mm和35mm</w:t>
            </w:r>
          </w:p>
        </w:tc>
      </w:tr>
    </w:tbl>
    <w:p w14:paraId="4A2D5A3B">
      <w:pPr>
        <w:spacing w:line="360" w:lineRule="auto"/>
        <w:jc w:val="center"/>
        <w:rPr>
          <w:rFonts w:eastAsia="仿宋"/>
          <w:b/>
          <w:bCs/>
          <w:kern w:val="0"/>
          <w:szCs w:val="21"/>
        </w:rPr>
      </w:pPr>
      <w:r>
        <w:rPr>
          <w:rFonts w:eastAsia="仿宋"/>
          <w:b/>
          <w:bCs/>
          <w:kern w:val="0"/>
          <w:szCs w:val="21"/>
        </w:rPr>
        <w:t>表11 水工建筑物适用性评估分级标准</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3"/>
        <w:gridCol w:w="1157"/>
        <w:gridCol w:w="1595"/>
        <w:gridCol w:w="1594"/>
        <w:gridCol w:w="1160"/>
      </w:tblGrid>
      <w:tr w14:paraId="438B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768" w:type="pct"/>
            <w:tcBorders>
              <w:tl2br w:val="single" w:color="auto" w:sz="4" w:space="0"/>
            </w:tcBorders>
          </w:tcPr>
          <w:p w14:paraId="48EB5436">
            <w:pPr>
              <w:ind w:firstLine="1248" w:firstLineChars="592"/>
              <w:rPr>
                <w:rFonts w:eastAsia="仿宋"/>
                <w:b/>
                <w:szCs w:val="21"/>
              </w:rPr>
            </w:pPr>
            <w:r>
              <w:rPr>
                <w:rFonts w:eastAsia="仿宋"/>
                <w:b/>
                <w:szCs w:val="21"/>
              </w:rPr>
              <w:t>等级</w:t>
            </w:r>
          </w:p>
          <w:p w14:paraId="070A801A">
            <w:pPr>
              <w:ind w:firstLine="103" w:firstLineChars="49"/>
              <w:rPr>
                <w:rFonts w:eastAsia="仿宋"/>
                <w:b/>
                <w:szCs w:val="21"/>
              </w:rPr>
            </w:pPr>
            <w:r>
              <w:rPr>
                <w:rFonts w:eastAsia="仿宋"/>
                <w:b/>
                <w:szCs w:val="21"/>
              </w:rPr>
              <w:t>项目</w:t>
            </w:r>
          </w:p>
        </w:tc>
        <w:tc>
          <w:tcPr>
            <w:tcW w:w="679" w:type="pct"/>
            <w:vAlign w:val="center"/>
          </w:tcPr>
          <w:p w14:paraId="38E108D0">
            <w:pPr>
              <w:jc w:val="center"/>
              <w:rPr>
                <w:rFonts w:eastAsia="仿宋"/>
                <w:b/>
                <w:szCs w:val="21"/>
              </w:rPr>
            </w:pPr>
            <w:r>
              <w:rPr>
                <w:rFonts w:eastAsia="仿宋"/>
                <w:b/>
                <w:szCs w:val="21"/>
              </w:rPr>
              <w:t>A级</w:t>
            </w:r>
          </w:p>
        </w:tc>
        <w:tc>
          <w:tcPr>
            <w:tcW w:w="936" w:type="pct"/>
            <w:vAlign w:val="center"/>
          </w:tcPr>
          <w:p w14:paraId="2C1BE336">
            <w:pPr>
              <w:jc w:val="center"/>
              <w:rPr>
                <w:rFonts w:eastAsia="仿宋"/>
                <w:b/>
                <w:szCs w:val="21"/>
              </w:rPr>
            </w:pPr>
            <w:r>
              <w:rPr>
                <w:rFonts w:eastAsia="仿宋"/>
                <w:b/>
                <w:szCs w:val="21"/>
              </w:rPr>
              <w:t>B级</w:t>
            </w:r>
          </w:p>
        </w:tc>
        <w:tc>
          <w:tcPr>
            <w:tcW w:w="935" w:type="pct"/>
            <w:vAlign w:val="center"/>
          </w:tcPr>
          <w:p w14:paraId="44E86BAE">
            <w:pPr>
              <w:jc w:val="center"/>
              <w:rPr>
                <w:rFonts w:eastAsia="仿宋"/>
                <w:b/>
                <w:szCs w:val="21"/>
              </w:rPr>
            </w:pPr>
            <w:r>
              <w:rPr>
                <w:rFonts w:eastAsia="仿宋"/>
                <w:b/>
                <w:szCs w:val="21"/>
              </w:rPr>
              <w:t>C级</w:t>
            </w:r>
          </w:p>
        </w:tc>
        <w:tc>
          <w:tcPr>
            <w:tcW w:w="680" w:type="pct"/>
            <w:vAlign w:val="center"/>
          </w:tcPr>
          <w:p w14:paraId="2377BC9E">
            <w:pPr>
              <w:jc w:val="center"/>
              <w:rPr>
                <w:rFonts w:eastAsia="仿宋"/>
                <w:b/>
                <w:szCs w:val="21"/>
              </w:rPr>
            </w:pPr>
            <w:r>
              <w:rPr>
                <w:rFonts w:eastAsia="仿宋"/>
                <w:b/>
                <w:szCs w:val="21"/>
              </w:rPr>
              <w:t>D级</w:t>
            </w:r>
          </w:p>
        </w:tc>
      </w:tr>
      <w:tr w14:paraId="6F9E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1768" w:type="pct"/>
            <w:vAlign w:val="center"/>
          </w:tcPr>
          <w:p w14:paraId="6293269A">
            <w:pPr>
              <w:jc w:val="center"/>
              <w:rPr>
                <w:rFonts w:eastAsia="仿宋"/>
                <w:szCs w:val="21"/>
              </w:rPr>
            </w:pPr>
            <w:r>
              <w:rPr>
                <w:rFonts w:eastAsia="仿宋"/>
                <w:szCs w:val="21"/>
              </w:rPr>
              <w:t>钢筋混凝土或钢结构最大挠度</w:t>
            </w:r>
          </w:p>
        </w:tc>
        <w:tc>
          <w:tcPr>
            <w:tcW w:w="679" w:type="pct"/>
            <w:vAlign w:val="center"/>
          </w:tcPr>
          <w:p w14:paraId="423CD616">
            <w:pPr>
              <w:jc w:val="center"/>
              <w:rPr>
                <w:rFonts w:eastAsia="仿宋"/>
                <w:szCs w:val="21"/>
              </w:rPr>
            </w:pPr>
            <w:r>
              <w:rPr>
                <w:rFonts w:eastAsia="仿宋"/>
                <w:szCs w:val="21"/>
              </w:rPr>
              <w:t>r≥1.00</w:t>
            </w:r>
          </w:p>
        </w:tc>
        <w:tc>
          <w:tcPr>
            <w:tcW w:w="936" w:type="pct"/>
            <w:vAlign w:val="center"/>
          </w:tcPr>
          <w:p w14:paraId="32EDD24D">
            <w:pPr>
              <w:jc w:val="center"/>
              <w:rPr>
                <w:rFonts w:eastAsia="仿宋"/>
                <w:szCs w:val="21"/>
              </w:rPr>
            </w:pPr>
            <w:r>
              <w:rPr>
                <w:rFonts w:eastAsia="仿宋"/>
                <w:szCs w:val="21"/>
              </w:rPr>
              <w:t>0.95≤r＜1.00</w:t>
            </w:r>
          </w:p>
        </w:tc>
        <w:tc>
          <w:tcPr>
            <w:tcW w:w="935" w:type="pct"/>
            <w:vAlign w:val="center"/>
          </w:tcPr>
          <w:p w14:paraId="68A99250">
            <w:pPr>
              <w:jc w:val="center"/>
              <w:rPr>
                <w:rFonts w:eastAsia="仿宋"/>
                <w:szCs w:val="21"/>
              </w:rPr>
            </w:pPr>
            <w:r>
              <w:rPr>
                <w:rFonts w:eastAsia="仿宋"/>
                <w:szCs w:val="21"/>
              </w:rPr>
              <w:t>0.90≤r＜0.95</w:t>
            </w:r>
          </w:p>
        </w:tc>
        <w:tc>
          <w:tcPr>
            <w:tcW w:w="680" w:type="pct"/>
            <w:vAlign w:val="center"/>
          </w:tcPr>
          <w:p w14:paraId="4C5EE5B2">
            <w:pPr>
              <w:jc w:val="center"/>
              <w:rPr>
                <w:rFonts w:eastAsia="仿宋"/>
                <w:szCs w:val="21"/>
              </w:rPr>
            </w:pPr>
            <w:r>
              <w:rPr>
                <w:rFonts w:eastAsia="仿宋"/>
                <w:szCs w:val="21"/>
              </w:rPr>
              <w:t>r＜0.90</w:t>
            </w:r>
          </w:p>
        </w:tc>
      </w:tr>
      <w:tr w14:paraId="222B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1768" w:type="pct"/>
            <w:vAlign w:val="center"/>
          </w:tcPr>
          <w:p w14:paraId="39512640">
            <w:pPr>
              <w:jc w:val="center"/>
              <w:rPr>
                <w:rFonts w:eastAsia="仿宋"/>
                <w:szCs w:val="21"/>
              </w:rPr>
            </w:pPr>
            <w:r>
              <w:rPr>
                <w:rFonts w:eastAsia="仿宋"/>
                <w:szCs w:val="21"/>
              </w:rPr>
              <w:t>钢筋混凝土结构最大裂缝宽度</w:t>
            </w:r>
          </w:p>
        </w:tc>
        <w:tc>
          <w:tcPr>
            <w:tcW w:w="679" w:type="pct"/>
            <w:vAlign w:val="center"/>
          </w:tcPr>
          <w:p w14:paraId="79352529">
            <w:pPr>
              <w:jc w:val="center"/>
              <w:rPr>
                <w:rFonts w:eastAsia="仿宋"/>
                <w:szCs w:val="21"/>
              </w:rPr>
            </w:pPr>
            <w:r>
              <w:rPr>
                <w:rFonts w:eastAsia="仿宋"/>
                <w:szCs w:val="21"/>
              </w:rPr>
              <w:t>r≥1.00</w:t>
            </w:r>
          </w:p>
        </w:tc>
        <w:tc>
          <w:tcPr>
            <w:tcW w:w="936" w:type="pct"/>
            <w:vAlign w:val="center"/>
          </w:tcPr>
          <w:p w14:paraId="06DF93C7">
            <w:pPr>
              <w:jc w:val="center"/>
              <w:rPr>
                <w:rFonts w:eastAsia="仿宋"/>
                <w:szCs w:val="21"/>
              </w:rPr>
            </w:pPr>
            <w:r>
              <w:rPr>
                <w:rFonts w:eastAsia="仿宋"/>
                <w:szCs w:val="21"/>
              </w:rPr>
              <w:t>0.80≤r＜1.00</w:t>
            </w:r>
          </w:p>
        </w:tc>
        <w:tc>
          <w:tcPr>
            <w:tcW w:w="935" w:type="pct"/>
            <w:vAlign w:val="center"/>
          </w:tcPr>
          <w:p w14:paraId="4A34F2C3">
            <w:pPr>
              <w:jc w:val="center"/>
              <w:rPr>
                <w:rFonts w:eastAsia="仿宋"/>
                <w:szCs w:val="21"/>
              </w:rPr>
            </w:pPr>
            <w:r>
              <w:rPr>
                <w:rFonts w:eastAsia="仿宋"/>
                <w:szCs w:val="21"/>
              </w:rPr>
              <w:t>0.70≤r＜0.80</w:t>
            </w:r>
          </w:p>
        </w:tc>
        <w:tc>
          <w:tcPr>
            <w:tcW w:w="680" w:type="pct"/>
            <w:vAlign w:val="center"/>
          </w:tcPr>
          <w:p w14:paraId="6C5208E4">
            <w:pPr>
              <w:jc w:val="center"/>
              <w:rPr>
                <w:rFonts w:eastAsia="仿宋"/>
                <w:szCs w:val="21"/>
              </w:rPr>
            </w:pPr>
            <w:r>
              <w:rPr>
                <w:rFonts w:eastAsia="仿宋"/>
                <w:szCs w:val="21"/>
              </w:rPr>
              <w:t>r＜0.70</w:t>
            </w:r>
          </w:p>
        </w:tc>
      </w:tr>
      <w:tr w14:paraId="520AB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1768" w:type="pct"/>
            <w:vAlign w:val="center"/>
          </w:tcPr>
          <w:p w14:paraId="0C67D3BF">
            <w:pPr>
              <w:jc w:val="center"/>
              <w:rPr>
                <w:rFonts w:eastAsia="仿宋"/>
                <w:szCs w:val="21"/>
              </w:rPr>
            </w:pPr>
            <w:r>
              <w:rPr>
                <w:rFonts w:eastAsia="仿宋"/>
                <w:szCs w:val="21"/>
              </w:rPr>
              <w:t>预应力混凝土拉应力限值</w:t>
            </w:r>
          </w:p>
        </w:tc>
        <w:tc>
          <w:tcPr>
            <w:tcW w:w="679" w:type="pct"/>
            <w:vAlign w:val="center"/>
          </w:tcPr>
          <w:p w14:paraId="06330BED">
            <w:pPr>
              <w:jc w:val="center"/>
              <w:rPr>
                <w:rFonts w:eastAsia="仿宋"/>
                <w:szCs w:val="21"/>
              </w:rPr>
            </w:pPr>
            <w:r>
              <w:rPr>
                <w:rFonts w:eastAsia="仿宋"/>
                <w:szCs w:val="21"/>
              </w:rPr>
              <w:t>r≥1.00</w:t>
            </w:r>
          </w:p>
        </w:tc>
        <w:tc>
          <w:tcPr>
            <w:tcW w:w="936" w:type="pct"/>
            <w:vAlign w:val="center"/>
          </w:tcPr>
          <w:p w14:paraId="6F5D25C9">
            <w:pPr>
              <w:jc w:val="center"/>
              <w:rPr>
                <w:rFonts w:eastAsia="仿宋"/>
                <w:szCs w:val="21"/>
              </w:rPr>
            </w:pPr>
            <w:r>
              <w:rPr>
                <w:rFonts w:eastAsia="仿宋"/>
                <w:szCs w:val="21"/>
              </w:rPr>
              <w:t>0.95≤r＜1.00</w:t>
            </w:r>
          </w:p>
        </w:tc>
        <w:tc>
          <w:tcPr>
            <w:tcW w:w="935" w:type="pct"/>
            <w:vAlign w:val="center"/>
          </w:tcPr>
          <w:p w14:paraId="637F940B">
            <w:pPr>
              <w:jc w:val="center"/>
              <w:rPr>
                <w:rFonts w:eastAsia="仿宋"/>
                <w:szCs w:val="21"/>
              </w:rPr>
            </w:pPr>
            <w:r>
              <w:rPr>
                <w:rFonts w:eastAsia="仿宋"/>
                <w:szCs w:val="21"/>
              </w:rPr>
              <w:t>0.90≤r＜0.95</w:t>
            </w:r>
          </w:p>
        </w:tc>
        <w:tc>
          <w:tcPr>
            <w:tcW w:w="680" w:type="pct"/>
            <w:vAlign w:val="center"/>
          </w:tcPr>
          <w:p w14:paraId="305F45EF">
            <w:pPr>
              <w:jc w:val="center"/>
              <w:rPr>
                <w:rFonts w:eastAsia="仿宋"/>
                <w:szCs w:val="21"/>
              </w:rPr>
            </w:pPr>
            <w:r>
              <w:rPr>
                <w:rFonts w:eastAsia="仿宋"/>
                <w:szCs w:val="21"/>
              </w:rPr>
              <w:t>r＜0.90</w:t>
            </w:r>
          </w:p>
        </w:tc>
      </w:tr>
    </w:tbl>
    <w:p w14:paraId="001362D7">
      <w:pPr>
        <w:spacing w:line="360" w:lineRule="auto"/>
        <w:jc w:val="center"/>
        <w:rPr>
          <w:rFonts w:eastAsia="仿宋"/>
          <w:b/>
          <w:bCs/>
          <w:kern w:val="0"/>
          <w:szCs w:val="21"/>
        </w:rPr>
      </w:pPr>
      <w:r>
        <w:rPr>
          <w:rFonts w:eastAsia="仿宋"/>
          <w:b/>
          <w:bCs/>
          <w:kern w:val="0"/>
          <w:szCs w:val="21"/>
        </w:rPr>
        <w:t>表12 闸阀门安全性评估分级标准</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1286"/>
        <w:gridCol w:w="1927"/>
        <w:gridCol w:w="1950"/>
        <w:gridCol w:w="1393"/>
      </w:tblGrid>
      <w:tr w14:paraId="6D60F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pct"/>
            <w:tcBorders>
              <w:tl2br w:val="single" w:color="auto" w:sz="4" w:space="0"/>
            </w:tcBorders>
          </w:tcPr>
          <w:p w14:paraId="02C38476">
            <w:pPr>
              <w:ind w:firstLine="1248" w:firstLineChars="592"/>
              <w:rPr>
                <w:rFonts w:eastAsia="仿宋"/>
                <w:b/>
                <w:szCs w:val="21"/>
              </w:rPr>
            </w:pPr>
            <w:r>
              <w:rPr>
                <w:rFonts w:eastAsia="仿宋"/>
                <w:b/>
                <w:szCs w:val="21"/>
              </w:rPr>
              <w:t>等级</w:t>
            </w:r>
          </w:p>
          <w:p w14:paraId="21BD58BF">
            <w:pPr>
              <w:ind w:firstLine="103" w:firstLineChars="49"/>
              <w:rPr>
                <w:rFonts w:eastAsia="仿宋"/>
                <w:b/>
                <w:szCs w:val="21"/>
              </w:rPr>
            </w:pPr>
            <w:r>
              <w:rPr>
                <w:rFonts w:eastAsia="仿宋"/>
                <w:b/>
                <w:szCs w:val="21"/>
              </w:rPr>
              <w:t>项目</w:t>
            </w:r>
          </w:p>
        </w:tc>
        <w:tc>
          <w:tcPr>
            <w:tcW w:w="755" w:type="pct"/>
            <w:vAlign w:val="center"/>
          </w:tcPr>
          <w:p w14:paraId="78024928">
            <w:pPr>
              <w:jc w:val="center"/>
              <w:rPr>
                <w:rFonts w:eastAsia="仿宋"/>
                <w:b/>
                <w:szCs w:val="21"/>
              </w:rPr>
            </w:pPr>
            <w:r>
              <w:rPr>
                <w:rFonts w:eastAsia="仿宋"/>
                <w:b/>
                <w:szCs w:val="21"/>
              </w:rPr>
              <w:t>A级</w:t>
            </w:r>
          </w:p>
        </w:tc>
        <w:tc>
          <w:tcPr>
            <w:tcW w:w="1130" w:type="pct"/>
            <w:vAlign w:val="center"/>
          </w:tcPr>
          <w:p w14:paraId="0ABD6CE2">
            <w:pPr>
              <w:jc w:val="center"/>
              <w:rPr>
                <w:rFonts w:eastAsia="仿宋"/>
                <w:b/>
                <w:szCs w:val="21"/>
              </w:rPr>
            </w:pPr>
            <w:r>
              <w:rPr>
                <w:rFonts w:eastAsia="仿宋"/>
                <w:b/>
                <w:szCs w:val="21"/>
              </w:rPr>
              <w:t>B级</w:t>
            </w:r>
          </w:p>
        </w:tc>
        <w:tc>
          <w:tcPr>
            <w:tcW w:w="1144" w:type="pct"/>
            <w:vAlign w:val="center"/>
          </w:tcPr>
          <w:p w14:paraId="2006DC91">
            <w:pPr>
              <w:jc w:val="center"/>
              <w:rPr>
                <w:rFonts w:eastAsia="仿宋"/>
                <w:b/>
                <w:szCs w:val="21"/>
              </w:rPr>
            </w:pPr>
            <w:r>
              <w:rPr>
                <w:rFonts w:eastAsia="仿宋"/>
                <w:b/>
                <w:szCs w:val="21"/>
              </w:rPr>
              <w:t>C级</w:t>
            </w:r>
          </w:p>
        </w:tc>
        <w:tc>
          <w:tcPr>
            <w:tcW w:w="818" w:type="pct"/>
            <w:vAlign w:val="center"/>
          </w:tcPr>
          <w:p w14:paraId="42485E93">
            <w:pPr>
              <w:jc w:val="center"/>
              <w:rPr>
                <w:rFonts w:eastAsia="仿宋"/>
                <w:b/>
                <w:szCs w:val="21"/>
              </w:rPr>
            </w:pPr>
            <w:r>
              <w:rPr>
                <w:rFonts w:eastAsia="仿宋"/>
                <w:b/>
                <w:szCs w:val="21"/>
              </w:rPr>
              <w:t>D级</w:t>
            </w:r>
          </w:p>
        </w:tc>
      </w:tr>
      <w:tr w14:paraId="3CCE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pct"/>
            <w:vAlign w:val="center"/>
          </w:tcPr>
          <w:p w14:paraId="3B85880B">
            <w:pPr>
              <w:jc w:val="center"/>
              <w:rPr>
                <w:rFonts w:eastAsia="仿宋"/>
                <w:szCs w:val="21"/>
              </w:rPr>
            </w:pPr>
            <w:r>
              <w:rPr>
                <w:rFonts w:eastAsia="仿宋"/>
                <w:szCs w:val="21"/>
              </w:rPr>
              <w:t>安全性评估</w:t>
            </w:r>
          </w:p>
        </w:tc>
        <w:tc>
          <w:tcPr>
            <w:tcW w:w="755" w:type="pct"/>
            <w:vAlign w:val="center"/>
          </w:tcPr>
          <w:p w14:paraId="0CC0F254">
            <w:pPr>
              <w:jc w:val="center"/>
              <w:rPr>
                <w:rFonts w:eastAsia="仿宋"/>
                <w:szCs w:val="21"/>
              </w:rPr>
            </w:pPr>
            <w:r>
              <w:rPr>
                <w:rFonts w:eastAsia="仿宋"/>
                <w:szCs w:val="21"/>
              </w:rPr>
              <w:t>R</w:t>
            </w:r>
            <w:r>
              <w:rPr>
                <w:rFonts w:eastAsia="仿宋"/>
                <w:szCs w:val="21"/>
                <w:vertAlign w:val="subscript"/>
              </w:rPr>
              <w:t>d</w:t>
            </w:r>
            <w:r>
              <w:rPr>
                <w:rFonts w:eastAsia="仿宋"/>
                <w:szCs w:val="21"/>
              </w:rPr>
              <w:t>/S</w:t>
            </w:r>
            <w:r>
              <w:rPr>
                <w:rFonts w:eastAsia="仿宋"/>
                <w:szCs w:val="21"/>
                <w:vertAlign w:val="subscript"/>
              </w:rPr>
              <w:t>d</w:t>
            </w:r>
            <w:r>
              <w:rPr>
                <w:rFonts w:eastAsia="仿宋"/>
                <w:szCs w:val="21"/>
              </w:rPr>
              <w:t>≥1.00</w:t>
            </w:r>
          </w:p>
        </w:tc>
        <w:tc>
          <w:tcPr>
            <w:tcW w:w="1130" w:type="pct"/>
            <w:vAlign w:val="center"/>
          </w:tcPr>
          <w:p w14:paraId="611D3C4F">
            <w:pPr>
              <w:jc w:val="center"/>
              <w:rPr>
                <w:rFonts w:eastAsia="仿宋"/>
                <w:szCs w:val="21"/>
              </w:rPr>
            </w:pPr>
            <w:r>
              <w:rPr>
                <w:rFonts w:eastAsia="仿宋"/>
                <w:szCs w:val="21"/>
              </w:rPr>
              <w:t>0.95≤R</w:t>
            </w:r>
            <w:r>
              <w:rPr>
                <w:rFonts w:eastAsia="仿宋"/>
                <w:szCs w:val="21"/>
                <w:vertAlign w:val="subscript"/>
              </w:rPr>
              <w:t>d</w:t>
            </w:r>
            <w:r>
              <w:rPr>
                <w:rFonts w:eastAsia="仿宋"/>
                <w:szCs w:val="21"/>
              </w:rPr>
              <w:t>/S</w:t>
            </w:r>
            <w:r>
              <w:rPr>
                <w:rFonts w:eastAsia="仿宋"/>
                <w:szCs w:val="21"/>
                <w:vertAlign w:val="subscript"/>
              </w:rPr>
              <w:t>d</w:t>
            </w:r>
            <w:r>
              <w:rPr>
                <w:rFonts w:eastAsia="仿宋"/>
                <w:szCs w:val="21"/>
              </w:rPr>
              <w:t>＜1.00</w:t>
            </w:r>
          </w:p>
        </w:tc>
        <w:tc>
          <w:tcPr>
            <w:tcW w:w="1144" w:type="pct"/>
            <w:vAlign w:val="center"/>
          </w:tcPr>
          <w:p w14:paraId="399F7A97">
            <w:pPr>
              <w:jc w:val="center"/>
              <w:rPr>
                <w:rFonts w:eastAsia="仿宋"/>
                <w:szCs w:val="21"/>
              </w:rPr>
            </w:pPr>
            <w:r>
              <w:rPr>
                <w:rFonts w:eastAsia="仿宋"/>
                <w:szCs w:val="21"/>
              </w:rPr>
              <w:t>0.90≤R</w:t>
            </w:r>
            <w:r>
              <w:rPr>
                <w:rFonts w:eastAsia="仿宋"/>
                <w:szCs w:val="21"/>
                <w:vertAlign w:val="subscript"/>
              </w:rPr>
              <w:t>d</w:t>
            </w:r>
            <w:r>
              <w:rPr>
                <w:rFonts w:eastAsia="仿宋"/>
                <w:szCs w:val="21"/>
              </w:rPr>
              <w:t>/S</w:t>
            </w:r>
            <w:r>
              <w:rPr>
                <w:rFonts w:eastAsia="仿宋"/>
                <w:szCs w:val="21"/>
                <w:vertAlign w:val="subscript"/>
              </w:rPr>
              <w:t>d</w:t>
            </w:r>
            <w:r>
              <w:rPr>
                <w:rFonts w:eastAsia="仿宋"/>
                <w:szCs w:val="21"/>
              </w:rPr>
              <w:t>＜0.95</w:t>
            </w:r>
          </w:p>
        </w:tc>
        <w:tc>
          <w:tcPr>
            <w:tcW w:w="818" w:type="pct"/>
            <w:vAlign w:val="center"/>
          </w:tcPr>
          <w:p w14:paraId="362ECF2B">
            <w:pPr>
              <w:jc w:val="center"/>
              <w:rPr>
                <w:rFonts w:eastAsia="仿宋"/>
                <w:szCs w:val="21"/>
              </w:rPr>
            </w:pPr>
            <w:r>
              <w:rPr>
                <w:rFonts w:eastAsia="仿宋"/>
                <w:szCs w:val="21"/>
              </w:rPr>
              <w:t>R</w:t>
            </w:r>
            <w:r>
              <w:rPr>
                <w:rFonts w:eastAsia="仿宋"/>
                <w:szCs w:val="21"/>
                <w:vertAlign w:val="subscript"/>
              </w:rPr>
              <w:t>d</w:t>
            </w:r>
            <w:r>
              <w:rPr>
                <w:rFonts w:eastAsia="仿宋"/>
                <w:szCs w:val="21"/>
              </w:rPr>
              <w:t>/S</w:t>
            </w:r>
            <w:r>
              <w:rPr>
                <w:rFonts w:eastAsia="仿宋"/>
                <w:szCs w:val="21"/>
                <w:vertAlign w:val="subscript"/>
              </w:rPr>
              <w:t>d</w:t>
            </w:r>
            <w:r>
              <w:rPr>
                <w:rFonts w:eastAsia="仿宋"/>
                <w:szCs w:val="21"/>
              </w:rPr>
              <w:t>＜0.90</w:t>
            </w:r>
          </w:p>
        </w:tc>
      </w:tr>
    </w:tbl>
    <w:p w14:paraId="57945506">
      <w:pPr>
        <w:adjustRightInd w:val="0"/>
        <w:snapToGrid w:val="0"/>
        <w:rPr>
          <w:rFonts w:eastAsia="仿宋"/>
          <w:sz w:val="18"/>
          <w:szCs w:val="18"/>
        </w:rPr>
      </w:pPr>
      <w:r>
        <w:rPr>
          <w:rFonts w:eastAsia="仿宋"/>
          <w:sz w:val="18"/>
          <w:szCs w:val="18"/>
        </w:rPr>
        <w:t>注：Rd、Sd分别为结构的抗力和作用效应组合设计值</w:t>
      </w:r>
    </w:p>
    <w:p w14:paraId="708EA1C4">
      <w:pPr>
        <w:spacing w:line="360" w:lineRule="auto"/>
        <w:jc w:val="center"/>
        <w:rPr>
          <w:rFonts w:eastAsia="仿宋"/>
          <w:b/>
          <w:bCs/>
          <w:kern w:val="0"/>
          <w:szCs w:val="21"/>
        </w:rPr>
      </w:pPr>
      <w:r>
        <w:rPr>
          <w:rFonts w:eastAsia="仿宋"/>
          <w:b/>
          <w:bCs/>
          <w:kern w:val="0"/>
          <w:szCs w:val="21"/>
        </w:rPr>
        <w:t>表13 闸阀门耐久性评估分级标准</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707"/>
        <w:gridCol w:w="6376"/>
      </w:tblGrid>
      <w:tr w14:paraId="0ADC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843" w:type="pct"/>
            <w:vAlign w:val="center"/>
          </w:tcPr>
          <w:p w14:paraId="2AE0CD32">
            <w:pPr>
              <w:adjustRightInd w:val="0"/>
              <w:jc w:val="center"/>
              <w:rPr>
                <w:rFonts w:eastAsia="仿宋"/>
                <w:b/>
                <w:szCs w:val="21"/>
              </w:rPr>
            </w:pPr>
            <w:r>
              <w:rPr>
                <w:rFonts w:eastAsia="仿宋"/>
                <w:b/>
                <w:szCs w:val="21"/>
              </w:rPr>
              <w:t>检测项目</w:t>
            </w:r>
          </w:p>
        </w:tc>
        <w:tc>
          <w:tcPr>
            <w:tcW w:w="4156" w:type="pct"/>
            <w:gridSpan w:val="2"/>
            <w:vAlign w:val="center"/>
          </w:tcPr>
          <w:p w14:paraId="0D2CCDB6">
            <w:pPr>
              <w:adjustRightInd w:val="0"/>
              <w:jc w:val="center"/>
              <w:rPr>
                <w:rFonts w:eastAsia="仿宋"/>
                <w:b/>
                <w:szCs w:val="21"/>
              </w:rPr>
            </w:pPr>
            <w:r>
              <w:rPr>
                <w:rFonts w:eastAsia="仿宋"/>
                <w:b/>
                <w:szCs w:val="21"/>
              </w:rPr>
              <w:t>等 级 评 定</w:t>
            </w:r>
          </w:p>
        </w:tc>
      </w:tr>
      <w:tr w14:paraId="5770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restart"/>
            <w:vAlign w:val="center"/>
          </w:tcPr>
          <w:p w14:paraId="44F73078">
            <w:pPr>
              <w:adjustRightInd w:val="0"/>
              <w:jc w:val="center"/>
              <w:rPr>
                <w:rFonts w:eastAsia="仿宋"/>
                <w:b/>
                <w:szCs w:val="21"/>
              </w:rPr>
            </w:pPr>
            <w:r>
              <w:rPr>
                <w:rFonts w:eastAsia="仿宋"/>
                <w:szCs w:val="21"/>
              </w:rPr>
              <w:t>锈蚀外观</w:t>
            </w:r>
          </w:p>
        </w:tc>
        <w:tc>
          <w:tcPr>
            <w:tcW w:w="415" w:type="pct"/>
            <w:vAlign w:val="center"/>
          </w:tcPr>
          <w:p w14:paraId="5A0B4FB2">
            <w:pPr>
              <w:jc w:val="center"/>
              <w:rPr>
                <w:rFonts w:eastAsia="仿宋"/>
                <w:szCs w:val="21"/>
              </w:rPr>
            </w:pPr>
            <w:r>
              <w:rPr>
                <w:rFonts w:eastAsia="仿宋"/>
                <w:szCs w:val="21"/>
              </w:rPr>
              <w:t>A级</w:t>
            </w:r>
          </w:p>
        </w:tc>
        <w:tc>
          <w:tcPr>
            <w:tcW w:w="3740" w:type="pct"/>
            <w:vAlign w:val="center"/>
          </w:tcPr>
          <w:p w14:paraId="7EFD5346">
            <w:pPr>
              <w:adjustRightInd w:val="0"/>
              <w:rPr>
                <w:rFonts w:eastAsia="仿宋"/>
                <w:szCs w:val="21"/>
              </w:rPr>
            </w:pPr>
            <w:r>
              <w:rPr>
                <w:rFonts w:eastAsia="仿宋"/>
                <w:szCs w:val="21"/>
              </w:rPr>
              <w:t>无粉化变色或轻微粉化变色，无裂纹、起泡和脱落生锈；轻微锈蚀。表面涂层基本完好，局部有少量蚀斑或不太明显的蚀迹，金属表面无麻面现象或只有少量浅而分散的蚀坑</w:t>
            </w:r>
          </w:p>
        </w:tc>
      </w:tr>
      <w:tr w14:paraId="0AB5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vAlign w:val="center"/>
          </w:tcPr>
          <w:p w14:paraId="18F83AB3">
            <w:pPr>
              <w:adjustRightInd w:val="0"/>
              <w:rPr>
                <w:rFonts w:eastAsia="仿宋"/>
                <w:szCs w:val="21"/>
              </w:rPr>
            </w:pPr>
          </w:p>
        </w:tc>
        <w:tc>
          <w:tcPr>
            <w:tcW w:w="415" w:type="pct"/>
            <w:vAlign w:val="center"/>
          </w:tcPr>
          <w:p w14:paraId="05F0A89E">
            <w:pPr>
              <w:jc w:val="center"/>
              <w:rPr>
                <w:rFonts w:eastAsia="仿宋"/>
                <w:szCs w:val="21"/>
              </w:rPr>
            </w:pPr>
            <w:r>
              <w:rPr>
                <w:rFonts w:eastAsia="仿宋"/>
                <w:szCs w:val="21"/>
              </w:rPr>
              <w:t>B级</w:t>
            </w:r>
          </w:p>
        </w:tc>
        <w:tc>
          <w:tcPr>
            <w:tcW w:w="3740" w:type="pct"/>
            <w:vAlign w:val="center"/>
          </w:tcPr>
          <w:p w14:paraId="7C8162BA">
            <w:pPr>
              <w:adjustRightInd w:val="0"/>
              <w:rPr>
                <w:rFonts w:eastAsia="仿宋"/>
                <w:szCs w:val="21"/>
              </w:rPr>
            </w:pPr>
            <w:r>
              <w:rPr>
                <w:rFonts w:eastAsia="仿宋"/>
                <w:szCs w:val="21"/>
              </w:rPr>
              <w:t>明显粉化变色，分散的裂纹、起泡和和脱落生锈面积不大于0.3%。涂层局部脱落，有明显的蚀斑、蚀坑，蚀坑深小于0.5mm，或虽有较深的蚀坑，深度在1.0mm~2.0mm之间，但较分散</w:t>
            </w:r>
          </w:p>
        </w:tc>
      </w:tr>
      <w:tr w14:paraId="21B2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vAlign w:val="center"/>
          </w:tcPr>
          <w:p w14:paraId="6E6F59B6">
            <w:pPr>
              <w:adjustRightInd w:val="0"/>
              <w:jc w:val="center"/>
              <w:rPr>
                <w:rFonts w:eastAsia="仿宋"/>
                <w:b/>
                <w:szCs w:val="21"/>
              </w:rPr>
            </w:pPr>
          </w:p>
        </w:tc>
        <w:tc>
          <w:tcPr>
            <w:tcW w:w="415" w:type="pct"/>
            <w:vAlign w:val="center"/>
          </w:tcPr>
          <w:p w14:paraId="40D19759">
            <w:pPr>
              <w:jc w:val="center"/>
              <w:rPr>
                <w:rFonts w:eastAsia="仿宋"/>
                <w:szCs w:val="21"/>
              </w:rPr>
            </w:pPr>
            <w:r>
              <w:rPr>
                <w:rFonts w:eastAsia="仿宋"/>
                <w:szCs w:val="21"/>
              </w:rPr>
              <w:t>C级</w:t>
            </w:r>
          </w:p>
        </w:tc>
        <w:tc>
          <w:tcPr>
            <w:tcW w:w="3740" w:type="pct"/>
            <w:vAlign w:val="center"/>
          </w:tcPr>
          <w:p w14:paraId="43A81177">
            <w:pPr>
              <w:adjustRightInd w:val="0"/>
              <w:rPr>
                <w:rFonts w:eastAsia="仿宋"/>
                <w:szCs w:val="21"/>
              </w:rPr>
            </w:pPr>
            <w:r>
              <w:rPr>
                <w:rFonts w:eastAsia="仿宋"/>
                <w:szCs w:val="21"/>
              </w:rPr>
              <w:t>较严重粉化变色，裂纹起泡和和脱落生锈面积大于0.3%且不大于1.0%。表面涂层大片脱落，脱落面积不小于100mm×100mm，或涂层与金属分离且中间夹有锈蚀皮，有密集成片的蚀坑，深度在1.0mm~2.0mm范围</w:t>
            </w:r>
          </w:p>
        </w:tc>
      </w:tr>
      <w:tr w14:paraId="6D98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vAlign w:val="center"/>
          </w:tcPr>
          <w:p w14:paraId="65F38D3C">
            <w:pPr>
              <w:adjustRightInd w:val="0"/>
              <w:jc w:val="center"/>
              <w:rPr>
                <w:rFonts w:eastAsia="仿宋"/>
                <w:szCs w:val="21"/>
              </w:rPr>
            </w:pPr>
          </w:p>
        </w:tc>
        <w:tc>
          <w:tcPr>
            <w:tcW w:w="415" w:type="pct"/>
            <w:vAlign w:val="center"/>
          </w:tcPr>
          <w:p w14:paraId="4B7E247E">
            <w:pPr>
              <w:jc w:val="center"/>
              <w:rPr>
                <w:rFonts w:eastAsia="仿宋"/>
                <w:szCs w:val="21"/>
              </w:rPr>
            </w:pPr>
            <w:r>
              <w:rPr>
                <w:rFonts w:eastAsia="仿宋"/>
                <w:szCs w:val="21"/>
              </w:rPr>
              <w:t>D级</w:t>
            </w:r>
          </w:p>
        </w:tc>
        <w:tc>
          <w:tcPr>
            <w:tcW w:w="3740" w:type="pct"/>
            <w:vAlign w:val="center"/>
          </w:tcPr>
          <w:p w14:paraId="414ACC9E">
            <w:pPr>
              <w:adjustRightInd w:val="0"/>
              <w:rPr>
                <w:rFonts w:eastAsia="仿宋"/>
                <w:szCs w:val="21"/>
              </w:rPr>
            </w:pPr>
            <w:r>
              <w:rPr>
                <w:rFonts w:eastAsia="仿宋"/>
                <w:szCs w:val="21"/>
              </w:rPr>
              <w:t>严重粉化变色，大范围的裂纹、起泡和和脱落生锈面积大于1.0%。蚀坑较深且密集成片，构件局部有很深的蚀坑，深度在3.0mm以上，并有蚀损，出现孔洞、缺肉等现象</w:t>
            </w:r>
          </w:p>
        </w:tc>
      </w:tr>
      <w:tr w14:paraId="58176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restart"/>
            <w:shd w:val="clear" w:color="auto" w:fill="auto"/>
            <w:vAlign w:val="center"/>
          </w:tcPr>
          <w:p w14:paraId="10FAEC85">
            <w:pPr>
              <w:adjustRightInd w:val="0"/>
              <w:jc w:val="center"/>
              <w:rPr>
                <w:rFonts w:eastAsia="仿宋"/>
                <w:szCs w:val="21"/>
              </w:rPr>
            </w:pPr>
            <w:r>
              <w:rPr>
                <w:rFonts w:eastAsia="仿宋"/>
                <w:szCs w:val="21"/>
              </w:rPr>
              <w:t>涂层厚度</w:t>
            </w:r>
          </w:p>
        </w:tc>
        <w:tc>
          <w:tcPr>
            <w:tcW w:w="415" w:type="pct"/>
            <w:vAlign w:val="center"/>
          </w:tcPr>
          <w:p w14:paraId="055069A2">
            <w:pPr>
              <w:jc w:val="center"/>
              <w:rPr>
                <w:rFonts w:eastAsia="仿宋"/>
                <w:szCs w:val="21"/>
              </w:rPr>
            </w:pPr>
            <w:r>
              <w:rPr>
                <w:rFonts w:eastAsia="仿宋"/>
                <w:szCs w:val="21"/>
              </w:rPr>
              <w:t>A级</w:t>
            </w:r>
          </w:p>
        </w:tc>
        <w:tc>
          <w:tcPr>
            <w:tcW w:w="3740" w:type="pct"/>
            <w:vAlign w:val="center"/>
          </w:tcPr>
          <w:p w14:paraId="78F131FB">
            <w:pPr>
              <w:adjustRightInd w:val="0"/>
              <w:rPr>
                <w:rFonts w:eastAsia="仿宋"/>
                <w:szCs w:val="21"/>
              </w:rPr>
            </w:pPr>
            <w:r>
              <w:rPr>
                <w:rFonts w:eastAsia="仿宋"/>
                <w:szCs w:val="21"/>
              </w:rPr>
              <w:t>涂层干膜厚度不小于原设计厚度的90%</w:t>
            </w:r>
          </w:p>
        </w:tc>
      </w:tr>
      <w:tr w14:paraId="7573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157028AE">
            <w:pPr>
              <w:adjustRightInd w:val="0"/>
              <w:jc w:val="center"/>
              <w:rPr>
                <w:rFonts w:eastAsia="仿宋"/>
                <w:szCs w:val="21"/>
              </w:rPr>
            </w:pPr>
          </w:p>
        </w:tc>
        <w:tc>
          <w:tcPr>
            <w:tcW w:w="415" w:type="pct"/>
            <w:vAlign w:val="center"/>
          </w:tcPr>
          <w:p w14:paraId="0AD55A9B">
            <w:pPr>
              <w:jc w:val="center"/>
              <w:rPr>
                <w:rFonts w:eastAsia="仿宋"/>
                <w:szCs w:val="21"/>
              </w:rPr>
            </w:pPr>
            <w:r>
              <w:rPr>
                <w:rFonts w:eastAsia="仿宋"/>
                <w:szCs w:val="21"/>
              </w:rPr>
              <w:t>B级</w:t>
            </w:r>
          </w:p>
        </w:tc>
        <w:tc>
          <w:tcPr>
            <w:tcW w:w="3740" w:type="pct"/>
            <w:vAlign w:val="center"/>
          </w:tcPr>
          <w:p w14:paraId="3601930C">
            <w:pPr>
              <w:adjustRightInd w:val="0"/>
              <w:rPr>
                <w:rFonts w:eastAsia="仿宋"/>
                <w:szCs w:val="21"/>
              </w:rPr>
            </w:pPr>
            <w:r>
              <w:rPr>
                <w:rFonts w:eastAsia="仿宋"/>
                <w:szCs w:val="21"/>
              </w:rPr>
              <w:t>涂层干膜厚度小于原设计厚度的90%且不小于原设计厚度的75%</w:t>
            </w:r>
          </w:p>
        </w:tc>
      </w:tr>
      <w:tr w14:paraId="0C30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59471547">
            <w:pPr>
              <w:adjustRightInd w:val="0"/>
              <w:jc w:val="center"/>
              <w:rPr>
                <w:rFonts w:eastAsia="仿宋"/>
                <w:szCs w:val="21"/>
              </w:rPr>
            </w:pPr>
          </w:p>
        </w:tc>
        <w:tc>
          <w:tcPr>
            <w:tcW w:w="415" w:type="pct"/>
            <w:vAlign w:val="center"/>
          </w:tcPr>
          <w:p w14:paraId="17082022">
            <w:pPr>
              <w:jc w:val="center"/>
              <w:rPr>
                <w:rFonts w:eastAsia="仿宋"/>
                <w:szCs w:val="21"/>
              </w:rPr>
            </w:pPr>
            <w:r>
              <w:rPr>
                <w:rFonts w:eastAsia="仿宋"/>
                <w:szCs w:val="21"/>
              </w:rPr>
              <w:t>C级</w:t>
            </w:r>
          </w:p>
        </w:tc>
        <w:tc>
          <w:tcPr>
            <w:tcW w:w="3740" w:type="pct"/>
            <w:vAlign w:val="center"/>
          </w:tcPr>
          <w:p w14:paraId="2DC57BF0">
            <w:pPr>
              <w:adjustRightInd w:val="0"/>
              <w:rPr>
                <w:rFonts w:eastAsia="仿宋"/>
                <w:szCs w:val="21"/>
              </w:rPr>
            </w:pPr>
            <w:r>
              <w:rPr>
                <w:rFonts w:eastAsia="仿宋"/>
                <w:szCs w:val="21"/>
              </w:rPr>
              <w:t>涂层干膜厚度小于原设计厚度的75%</w:t>
            </w:r>
          </w:p>
        </w:tc>
      </w:tr>
      <w:tr w14:paraId="244AA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3AC0A8D2">
            <w:pPr>
              <w:adjustRightInd w:val="0"/>
              <w:jc w:val="center"/>
              <w:rPr>
                <w:rFonts w:eastAsia="仿宋"/>
                <w:szCs w:val="21"/>
              </w:rPr>
            </w:pPr>
          </w:p>
        </w:tc>
        <w:tc>
          <w:tcPr>
            <w:tcW w:w="415" w:type="pct"/>
            <w:vAlign w:val="center"/>
          </w:tcPr>
          <w:p w14:paraId="0C195257">
            <w:pPr>
              <w:jc w:val="center"/>
              <w:rPr>
                <w:rFonts w:eastAsia="仿宋"/>
                <w:szCs w:val="21"/>
              </w:rPr>
            </w:pPr>
            <w:r>
              <w:rPr>
                <w:rFonts w:eastAsia="仿宋"/>
                <w:szCs w:val="21"/>
              </w:rPr>
              <w:t>D级</w:t>
            </w:r>
          </w:p>
        </w:tc>
        <w:tc>
          <w:tcPr>
            <w:tcW w:w="3740" w:type="pct"/>
            <w:vAlign w:val="center"/>
          </w:tcPr>
          <w:p w14:paraId="4278831C">
            <w:pPr>
              <w:adjustRightInd w:val="0"/>
              <w:rPr>
                <w:rFonts w:eastAsia="仿宋"/>
                <w:szCs w:val="21"/>
              </w:rPr>
            </w:pPr>
            <w:r>
              <w:rPr>
                <w:rFonts w:eastAsia="仿宋"/>
                <w:szCs w:val="21"/>
              </w:rPr>
              <w:t>涂层干膜厚度小于原设计厚度的75%，刀刮容易剥离</w:t>
            </w:r>
          </w:p>
        </w:tc>
      </w:tr>
      <w:tr w14:paraId="123E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restart"/>
            <w:shd w:val="clear" w:color="auto" w:fill="auto"/>
            <w:vAlign w:val="center"/>
          </w:tcPr>
          <w:p w14:paraId="5F483128">
            <w:pPr>
              <w:adjustRightInd w:val="0"/>
              <w:jc w:val="center"/>
              <w:rPr>
                <w:rFonts w:eastAsia="仿宋"/>
                <w:szCs w:val="21"/>
              </w:rPr>
            </w:pPr>
            <w:r>
              <w:rPr>
                <w:rFonts w:eastAsia="仿宋"/>
                <w:szCs w:val="21"/>
              </w:rPr>
              <w:t>蚀余厚度</w:t>
            </w:r>
          </w:p>
        </w:tc>
        <w:tc>
          <w:tcPr>
            <w:tcW w:w="415" w:type="pct"/>
            <w:vAlign w:val="center"/>
          </w:tcPr>
          <w:p w14:paraId="6F92AC43">
            <w:pPr>
              <w:jc w:val="center"/>
              <w:rPr>
                <w:rFonts w:eastAsia="仿宋"/>
                <w:szCs w:val="21"/>
              </w:rPr>
            </w:pPr>
            <w:r>
              <w:rPr>
                <w:rFonts w:eastAsia="仿宋"/>
                <w:szCs w:val="21"/>
              </w:rPr>
              <w:t>A级</w:t>
            </w:r>
          </w:p>
        </w:tc>
        <w:tc>
          <w:tcPr>
            <w:tcW w:w="3740" w:type="pct"/>
            <w:vAlign w:val="center"/>
          </w:tcPr>
          <w:p w14:paraId="68E77349">
            <w:pPr>
              <w:adjustRightInd w:val="0"/>
              <w:rPr>
                <w:rFonts w:eastAsia="仿宋"/>
                <w:szCs w:val="21"/>
              </w:rPr>
            </w:pPr>
            <w:r>
              <w:rPr>
                <w:rFonts w:eastAsia="仿宋"/>
                <w:szCs w:val="21"/>
              </w:rPr>
              <w:t>轻微锈蚀、涂层完好，局部少量锈斑或锈迹，表面有少量分散浅锈坑，锈蚀速率小于0.05mm/a</w:t>
            </w:r>
          </w:p>
        </w:tc>
      </w:tr>
      <w:tr w14:paraId="1E94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05FC40DB">
            <w:pPr>
              <w:adjustRightInd w:val="0"/>
              <w:jc w:val="center"/>
              <w:rPr>
                <w:rFonts w:eastAsia="仿宋"/>
                <w:szCs w:val="21"/>
              </w:rPr>
            </w:pPr>
          </w:p>
        </w:tc>
        <w:tc>
          <w:tcPr>
            <w:tcW w:w="415" w:type="pct"/>
            <w:vAlign w:val="center"/>
          </w:tcPr>
          <w:p w14:paraId="3950C3FC">
            <w:pPr>
              <w:jc w:val="center"/>
              <w:rPr>
                <w:rFonts w:eastAsia="仿宋"/>
                <w:szCs w:val="21"/>
              </w:rPr>
            </w:pPr>
            <w:r>
              <w:rPr>
                <w:rFonts w:eastAsia="仿宋"/>
                <w:szCs w:val="21"/>
              </w:rPr>
              <w:t>B级</w:t>
            </w:r>
          </w:p>
        </w:tc>
        <w:tc>
          <w:tcPr>
            <w:tcW w:w="3740" w:type="pct"/>
            <w:vAlign w:val="center"/>
          </w:tcPr>
          <w:p w14:paraId="6A7B7DC0">
            <w:pPr>
              <w:adjustRightInd w:val="0"/>
              <w:rPr>
                <w:rFonts w:eastAsia="仿宋"/>
                <w:szCs w:val="21"/>
              </w:rPr>
            </w:pPr>
            <w:r>
              <w:rPr>
                <w:rFonts w:eastAsia="仿宋"/>
                <w:szCs w:val="21"/>
              </w:rPr>
              <w:t>一般锈蚀，涂层剥落，出现少而散较深锈坑，构件未明显削弱，锈蚀速率在0.05~0.1mm/a</w:t>
            </w:r>
          </w:p>
        </w:tc>
      </w:tr>
      <w:tr w14:paraId="3358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32EEB9F0">
            <w:pPr>
              <w:adjustRightInd w:val="0"/>
              <w:jc w:val="center"/>
              <w:rPr>
                <w:rFonts w:eastAsia="仿宋"/>
                <w:szCs w:val="21"/>
              </w:rPr>
            </w:pPr>
          </w:p>
        </w:tc>
        <w:tc>
          <w:tcPr>
            <w:tcW w:w="415" w:type="pct"/>
            <w:vAlign w:val="center"/>
          </w:tcPr>
          <w:p w14:paraId="0B6002E2">
            <w:pPr>
              <w:jc w:val="center"/>
              <w:rPr>
                <w:rFonts w:eastAsia="仿宋"/>
                <w:szCs w:val="21"/>
              </w:rPr>
            </w:pPr>
            <w:r>
              <w:rPr>
                <w:rFonts w:eastAsia="仿宋"/>
                <w:szCs w:val="21"/>
              </w:rPr>
              <w:t>C级</w:t>
            </w:r>
          </w:p>
        </w:tc>
        <w:tc>
          <w:tcPr>
            <w:tcW w:w="3740" w:type="pct"/>
            <w:vAlign w:val="center"/>
          </w:tcPr>
          <w:p w14:paraId="7D5B51A5">
            <w:pPr>
              <w:adjustRightInd w:val="0"/>
              <w:rPr>
                <w:rFonts w:eastAsia="仿宋"/>
                <w:szCs w:val="21"/>
              </w:rPr>
            </w:pPr>
            <w:r>
              <w:rPr>
                <w:rFonts w:eastAsia="仿宋"/>
                <w:szCs w:val="21"/>
              </w:rPr>
              <w:t>出现较重锈蚀，涂层大面积剥落，密集成片的锈坑群或表面麻面严重且区域较大，局部出现较深锈坑，构件已有一定程度削弱，锈蚀速率在0.1~0.2mm/a</w:t>
            </w:r>
          </w:p>
        </w:tc>
      </w:tr>
      <w:tr w14:paraId="54A1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5502A94B">
            <w:pPr>
              <w:adjustRightInd w:val="0"/>
              <w:jc w:val="center"/>
              <w:rPr>
                <w:rFonts w:eastAsia="仿宋"/>
                <w:szCs w:val="21"/>
              </w:rPr>
            </w:pPr>
          </w:p>
        </w:tc>
        <w:tc>
          <w:tcPr>
            <w:tcW w:w="415" w:type="pct"/>
            <w:vAlign w:val="center"/>
          </w:tcPr>
          <w:p w14:paraId="622595C9">
            <w:pPr>
              <w:jc w:val="center"/>
              <w:rPr>
                <w:rFonts w:eastAsia="仿宋"/>
                <w:szCs w:val="21"/>
              </w:rPr>
            </w:pPr>
            <w:r>
              <w:rPr>
                <w:rFonts w:eastAsia="仿宋"/>
                <w:szCs w:val="21"/>
              </w:rPr>
              <w:t>D级</w:t>
            </w:r>
          </w:p>
        </w:tc>
        <w:tc>
          <w:tcPr>
            <w:tcW w:w="3740" w:type="pct"/>
            <w:vAlign w:val="center"/>
          </w:tcPr>
          <w:p w14:paraId="56F01D4E">
            <w:pPr>
              <w:adjustRightInd w:val="0"/>
              <w:rPr>
                <w:rFonts w:eastAsia="仿宋"/>
                <w:szCs w:val="21"/>
              </w:rPr>
            </w:pPr>
            <w:r>
              <w:rPr>
                <w:rFonts w:eastAsia="仿宋"/>
                <w:szCs w:val="21"/>
              </w:rPr>
              <w:t>严重锈蚀，较深锈坑密集成片，局部出现很深锈坑，构件严重削弱，锈蚀率大于0.2mm/a</w:t>
            </w:r>
          </w:p>
        </w:tc>
      </w:tr>
      <w:tr w14:paraId="1E89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433B4D94">
            <w:pPr>
              <w:adjustRightInd w:val="0"/>
              <w:jc w:val="center"/>
              <w:rPr>
                <w:rFonts w:eastAsia="仿宋"/>
                <w:szCs w:val="21"/>
              </w:rPr>
            </w:pPr>
          </w:p>
        </w:tc>
        <w:tc>
          <w:tcPr>
            <w:tcW w:w="415" w:type="pct"/>
            <w:vAlign w:val="center"/>
          </w:tcPr>
          <w:p w14:paraId="551C0639">
            <w:pPr>
              <w:jc w:val="center"/>
              <w:rPr>
                <w:rFonts w:eastAsia="仿宋"/>
                <w:szCs w:val="21"/>
              </w:rPr>
            </w:pPr>
            <w:r>
              <w:rPr>
                <w:rFonts w:eastAsia="仿宋"/>
                <w:szCs w:val="21"/>
              </w:rPr>
              <w:t>备注</w:t>
            </w:r>
          </w:p>
        </w:tc>
        <w:tc>
          <w:tcPr>
            <w:tcW w:w="3740" w:type="pct"/>
            <w:vAlign w:val="center"/>
          </w:tcPr>
          <w:p w14:paraId="2F27A248">
            <w:pPr>
              <w:adjustRightInd w:val="0"/>
              <w:rPr>
                <w:rFonts w:eastAsia="仿宋"/>
                <w:szCs w:val="21"/>
              </w:rPr>
            </w:pPr>
            <w:r>
              <w:rPr>
                <w:rFonts w:eastAsia="仿宋"/>
                <w:szCs w:val="21"/>
              </w:rPr>
              <w:t>闸门的构件当蚀余厚度小于6mm时该构件必须报废更换</w:t>
            </w:r>
          </w:p>
        </w:tc>
      </w:tr>
      <w:tr w14:paraId="1FA85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restart"/>
            <w:shd w:val="clear" w:color="auto" w:fill="auto"/>
            <w:vAlign w:val="center"/>
          </w:tcPr>
          <w:p w14:paraId="1B4ED5D6">
            <w:pPr>
              <w:adjustRightInd w:val="0"/>
              <w:jc w:val="center"/>
              <w:rPr>
                <w:rFonts w:eastAsia="仿宋"/>
                <w:szCs w:val="21"/>
              </w:rPr>
            </w:pPr>
            <w:r>
              <w:rPr>
                <w:rFonts w:eastAsia="仿宋"/>
                <w:szCs w:val="21"/>
              </w:rPr>
              <w:t>蚀坑深度</w:t>
            </w:r>
          </w:p>
        </w:tc>
        <w:tc>
          <w:tcPr>
            <w:tcW w:w="415" w:type="pct"/>
            <w:vAlign w:val="center"/>
          </w:tcPr>
          <w:p w14:paraId="3A6E42EB">
            <w:pPr>
              <w:jc w:val="center"/>
              <w:rPr>
                <w:rFonts w:eastAsia="仿宋"/>
                <w:szCs w:val="21"/>
              </w:rPr>
            </w:pPr>
            <w:r>
              <w:rPr>
                <w:rFonts w:eastAsia="仿宋"/>
                <w:szCs w:val="21"/>
              </w:rPr>
              <w:t>A级</w:t>
            </w:r>
          </w:p>
        </w:tc>
        <w:tc>
          <w:tcPr>
            <w:tcW w:w="3740" w:type="pct"/>
            <w:vAlign w:val="center"/>
          </w:tcPr>
          <w:p w14:paraId="3309F27C">
            <w:pPr>
              <w:adjustRightInd w:val="0"/>
              <w:rPr>
                <w:rFonts w:eastAsia="仿宋"/>
                <w:szCs w:val="21"/>
              </w:rPr>
            </w:pPr>
            <w:r>
              <w:rPr>
                <w:rFonts w:eastAsia="仿宋"/>
                <w:szCs w:val="21"/>
              </w:rPr>
              <w:t>金属表面只有少量浅而分散的蚀坑，一般在300mm×300mm范围内只有1~2个蚀坑，密集处不超过4个</w:t>
            </w:r>
          </w:p>
        </w:tc>
      </w:tr>
      <w:tr w14:paraId="7EC5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1783B85B">
            <w:pPr>
              <w:adjustRightInd w:val="0"/>
              <w:jc w:val="center"/>
              <w:rPr>
                <w:rFonts w:eastAsia="仿宋"/>
                <w:szCs w:val="21"/>
              </w:rPr>
            </w:pPr>
          </w:p>
        </w:tc>
        <w:tc>
          <w:tcPr>
            <w:tcW w:w="415" w:type="pct"/>
            <w:vAlign w:val="center"/>
          </w:tcPr>
          <w:p w14:paraId="334440BE">
            <w:pPr>
              <w:jc w:val="center"/>
              <w:rPr>
                <w:rFonts w:eastAsia="仿宋"/>
                <w:szCs w:val="21"/>
              </w:rPr>
            </w:pPr>
            <w:r>
              <w:rPr>
                <w:rFonts w:eastAsia="仿宋"/>
                <w:szCs w:val="21"/>
              </w:rPr>
              <w:t>B级</w:t>
            </w:r>
          </w:p>
        </w:tc>
        <w:tc>
          <w:tcPr>
            <w:tcW w:w="3740" w:type="pct"/>
            <w:vAlign w:val="center"/>
          </w:tcPr>
          <w:p w14:paraId="5C749004">
            <w:pPr>
              <w:adjustRightInd w:val="0"/>
              <w:rPr>
                <w:rFonts w:eastAsia="仿宋"/>
                <w:szCs w:val="21"/>
              </w:rPr>
            </w:pPr>
            <w:r>
              <w:rPr>
                <w:rFonts w:eastAsia="仿宋"/>
                <w:szCs w:val="21"/>
              </w:rPr>
              <w:t>有明显蚀坑，蚀坑深小于0.5mm，或虽有较深的蚀坑，深度在1.0mm~2.0mm之间，但较分散。一般在300mm×300mm范围内不超过30个蚀坑，密集处不超过60个</w:t>
            </w:r>
          </w:p>
        </w:tc>
      </w:tr>
      <w:tr w14:paraId="2F70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03384D8D">
            <w:pPr>
              <w:adjustRightInd w:val="0"/>
              <w:jc w:val="center"/>
              <w:rPr>
                <w:rFonts w:eastAsia="仿宋"/>
                <w:szCs w:val="21"/>
              </w:rPr>
            </w:pPr>
          </w:p>
        </w:tc>
        <w:tc>
          <w:tcPr>
            <w:tcW w:w="415" w:type="pct"/>
            <w:vAlign w:val="center"/>
          </w:tcPr>
          <w:p w14:paraId="2203DA4A">
            <w:pPr>
              <w:jc w:val="center"/>
              <w:rPr>
                <w:rFonts w:eastAsia="仿宋"/>
                <w:szCs w:val="21"/>
              </w:rPr>
            </w:pPr>
            <w:r>
              <w:rPr>
                <w:rFonts w:eastAsia="仿宋"/>
                <w:szCs w:val="21"/>
              </w:rPr>
              <w:t>C级</w:t>
            </w:r>
          </w:p>
        </w:tc>
        <w:tc>
          <w:tcPr>
            <w:tcW w:w="3740" w:type="pct"/>
            <w:vAlign w:val="center"/>
          </w:tcPr>
          <w:p w14:paraId="08DA07FA">
            <w:pPr>
              <w:adjustRightInd w:val="0"/>
              <w:rPr>
                <w:rFonts w:eastAsia="仿宋"/>
                <w:szCs w:val="21"/>
              </w:rPr>
            </w:pPr>
            <w:r>
              <w:rPr>
                <w:rFonts w:eastAsia="仿宋"/>
                <w:szCs w:val="21"/>
              </w:rPr>
              <w:t>蚀坑深度在1.0mm~2.0mm范围，一般在300mm×300mm范围内超过60个；或麻面现象较重，在300mm×300mm范围内虽不超过60个蚀坑，但深度在2.5mm以上</w:t>
            </w:r>
          </w:p>
        </w:tc>
      </w:tr>
      <w:tr w14:paraId="4FD2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43" w:type="pct"/>
            <w:vMerge w:val="continue"/>
            <w:shd w:val="clear" w:color="auto" w:fill="auto"/>
            <w:vAlign w:val="center"/>
          </w:tcPr>
          <w:p w14:paraId="15043276">
            <w:pPr>
              <w:adjustRightInd w:val="0"/>
              <w:jc w:val="center"/>
              <w:rPr>
                <w:rFonts w:eastAsia="仿宋"/>
                <w:szCs w:val="21"/>
              </w:rPr>
            </w:pPr>
          </w:p>
        </w:tc>
        <w:tc>
          <w:tcPr>
            <w:tcW w:w="415" w:type="pct"/>
            <w:vAlign w:val="center"/>
          </w:tcPr>
          <w:p w14:paraId="5D109542">
            <w:pPr>
              <w:jc w:val="center"/>
              <w:rPr>
                <w:rFonts w:eastAsia="仿宋"/>
                <w:szCs w:val="21"/>
              </w:rPr>
            </w:pPr>
            <w:r>
              <w:rPr>
                <w:rFonts w:eastAsia="仿宋"/>
                <w:szCs w:val="21"/>
              </w:rPr>
              <w:t>D级</w:t>
            </w:r>
          </w:p>
        </w:tc>
        <w:tc>
          <w:tcPr>
            <w:tcW w:w="3740" w:type="pct"/>
            <w:vAlign w:val="center"/>
          </w:tcPr>
          <w:p w14:paraId="603AEE40">
            <w:pPr>
              <w:adjustRightInd w:val="0"/>
              <w:rPr>
                <w:rFonts w:eastAsia="仿宋"/>
                <w:szCs w:val="21"/>
              </w:rPr>
            </w:pPr>
            <w:r>
              <w:rPr>
                <w:rFonts w:eastAsia="仿宋"/>
                <w:szCs w:val="21"/>
              </w:rPr>
              <w:t>蚀坑较深且密集成片，构件局部有很深的蚀坑，深度在3.0mm以上，并有蚀坑，出现孔洞、缺肉等现象</w:t>
            </w:r>
          </w:p>
        </w:tc>
      </w:tr>
    </w:tbl>
    <w:p w14:paraId="6A260172">
      <w:pPr>
        <w:spacing w:line="360" w:lineRule="auto"/>
        <w:ind w:firstLine="562" w:firstLineChars="200"/>
        <w:rPr>
          <w:rFonts w:eastAsia="仿宋"/>
          <w:b/>
          <w:bCs/>
          <w:kern w:val="0"/>
          <w:sz w:val="28"/>
          <w:szCs w:val="28"/>
        </w:rPr>
      </w:pPr>
      <w:r>
        <w:rPr>
          <w:rFonts w:eastAsia="仿宋"/>
          <w:b/>
          <w:bCs/>
          <w:kern w:val="0"/>
          <w:sz w:val="28"/>
          <w:szCs w:val="28"/>
        </w:rPr>
        <w:t>（5）技术状态分类评定</w:t>
      </w:r>
    </w:p>
    <w:p w14:paraId="4F126774">
      <w:pPr>
        <w:spacing w:line="360" w:lineRule="auto"/>
        <w:ind w:firstLine="560" w:firstLineChars="200"/>
        <w:rPr>
          <w:rFonts w:eastAsia="仿宋"/>
          <w:kern w:val="0"/>
          <w:sz w:val="28"/>
          <w:szCs w:val="28"/>
        </w:rPr>
      </w:pPr>
      <w:r>
        <w:rPr>
          <w:rFonts w:eastAsia="仿宋"/>
          <w:kern w:val="0"/>
          <w:sz w:val="28"/>
          <w:szCs w:val="28"/>
        </w:rPr>
        <w:t>根据船闸定期检查、定期测量观测、定期检测和评估复核对船闸的技术状态进行分类评定，规定船闸技术状态划分为四类，评定标准和处理措施如表14所示。</w:t>
      </w:r>
    </w:p>
    <w:p w14:paraId="10179C58">
      <w:pPr>
        <w:spacing w:line="360" w:lineRule="auto"/>
        <w:jc w:val="center"/>
        <w:rPr>
          <w:rFonts w:eastAsia="仿宋"/>
          <w:b/>
          <w:bCs/>
          <w:kern w:val="0"/>
          <w:szCs w:val="21"/>
        </w:rPr>
      </w:pPr>
      <w:r>
        <w:rPr>
          <w:rFonts w:eastAsia="仿宋"/>
          <w:b/>
          <w:bCs/>
          <w:kern w:val="0"/>
          <w:szCs w:val="21"/>
        </w:rPr>
        <w:t>表14 船闸技术状态分级评定标准</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4586"/>
        <w:gridCol w:w="3186"/>
      </w:tblGrid>
      <w:tr w14:paraId="7F7E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440" w:type="pct"/>
            <w:vAlign w:val="center"/>
          </w:tcPr>
          <w:p w14:paraId="74D58F38">
            <w:pPr>
              <w:jc w:val="center"/>
              <w:rPr>
                <w:rFonts w:eastAsia="仿宋"/>
                <w:b/>
                <w:szCs w:val="21"/>
              </w:rPr>
            </w:pPr>
            <w:r>
              <w:rPr>
                <w:rFonts w:eastAsia="仿宋"/>
                <w:b/>
                <w:szCs w:val="21"/>
              </w:rPr>
              <w:t>等级</w:t>
            </w:r>
          </w:p>
        </w:tc>
        <w:tc>
          <w:tcPr>
            <w:tcW w:w="2690" w:type="pct"/>
            <w:vAlign w:val="center"/>
          </w:tcPr>
          <w:p w14:paraId="3FE43A79">
            <w:pPr>
              <w:jc w:val="center"/>
              <w:rPr>
                <w:rFonts w:eastAsia="仿宋"/>
                <w:b/>
                <w:szCs w:val="21"/>
              </w:rPr>
            </w:pPr>
            <w:r>
              <w:rPr>
                <w:rFonts w:eastAsia="仿宋"/>
                <w:b/>
                <w:szCs w:val="21"/>
              </w:rPr>
              <w:t>评定标准</w:t>
            </w:r>
          </w:p>
        </w:tc>
        <w:tc>
          <w:tcPr>
            <w:tcW w:w="1869" w:type="pct"/>
            <w:vAlign w:val="center"/>
          </w:tcPr>
          <w:p w14:paraId="31A419C9">
            <w:pPr>
              <w:jc w:val="center"/>
              <w:rPr>
                <w:rFonts w:eastAsia="仿宋"/>
                <w:b/>
                <w:szCs w:val="21"/>
              </w:rPr>
            </w:pPr>
            <w:r>
              <w:rPr>
                <w:rFonts w:eastAsia="仿宋"/>
                <w:b/>
                <w:szCs w:val="21"/>
              </w:rPr>
              <w:t>处理措施</w:t>
            </w:r>
          </w:p>
        </w:tc>
      </w:tr>
      <w:tr w14:paraId="2736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0" w:type="pct"/>
            <w:vAlign w:val="center"/>
          </w:tcPr>
          <w:p w14:paraId="21092C8E">
            <w:pPr>
              <w:jc w:val="center"/>
              <w:rPr>
                <w:rFonts w:eastAsia="仿宋"/>
                <w:b/>
                <w:szCs w:val="21"/>
              </w:rPr>
            </w:pPr>
            <w:r>
              <w:rPr>
                <w:rFonts w:eastAsia="仿宋"/>
                <w:b/>
                <w:szCs w:val="21"/>
              </w:rPr>
              <w:t>一级</w:t>
            </w:r>
          </w:p>
        </w:tc>
        <w:tc>
          <w:tcPr>
            <w:tcW w:w="2690" w:type="pct"/>
            <w:vAlign w:val="center"/>
          </w:tcPr>
          <w:p w14:paraId="77FF0119">
            <w:pPr>
              <w:rPr>
                <w:rFonts w:eastAsia="仿宋"/>
                <w:szCs w:val="21"/>
              </w:rPr>
            </w:pPr>
            <w:r>
              <w:rPr>
                <w:rFonts w:eastAsia="仿宋"/>
                <w:szCs w:val="21"/>
              </w:rPr>
              <w:t>船闸整体完好，各项指标均达到设计标准，无影响正常运行的缺陷，变形变位均在设计允许范围内。</w:t>
            </w:r>
          </w:p>
        </w:tc>
        <w:tc>
          <w:tcPr>
            <w:tcW w:w="1869" w:type="pct"/>
            <w:vAlign w:val="center"/>
          </w:tcPr>
          <w:p w14:paraId="0CDA2128">
            <w:pPr>
              <w:jc w:val="left"/>
              <w:rPr>
                <w:rFonts w:eastAsia="仿宋"/>
                <w:szCs w:val="21"/>
              </w:rPr>
            </w:pPr>
            <w:r>
              <w:rPr>
                <w:rFonts w:eastAsia="仿宋"/>
                <w:szCs w:val="21"/>
              </w:rPr>
              <w:t>常规养护</w:t>
            </w:r>
          </w:p>
        </w:tc>
      </w:tr>
      <w:tr w14:paraId="14A59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0" w:type="pct"/>
            <w:vAlign w:val="center"/>
          </w:tcPr>
          <w:p w14:paraId="7B4E8A14">
            <w:pPr>
              <w:jc w:val="center"/>
              <w:rPr>
                <w:rFonts w:eastAsia="仿宋"/>
                <w:b/>
                <w:szCs w:val="21"/>
              </w:rPr>
            </w:pPr>
            <w:r>
              <w:rPr>
                <w:rFonts w:eastAsia="仿宋"/>
                <w:b/>
                <w:szCs w:val="21"/>
              </w:rPr>
              <w:t>二级</w:t>
            </w:r>
          </w:p>
        </w:tc>
        <w:tc>
          <w:tcPr>
            <w:tcW w:w="2690" w:type="pct"/>
            <w:vAlign w:val="center"/>
          </w:tcPr>
          <w:p w14:paraId="0F142E36">
            <w:pPr>
              <w:rPr>
                <w:rFonts w:eastAsia="仿宋"/>
                <w:szCs w:val="21"/>
              </w:rPr>
            </w:pPr>
            <w:r>
              <w:rPr>
                <w:rFonts w:eastAsia="仿宋"/>
                <w:szCs w:val="21"/>
              </w:rPr>
              <w:t>船闸整体完好，个别指标略低于设计标准要求，工程存在一定损坏，变形变位略超出设计允许范围，但不影响船闸安全运行。</w:t>
            </w:r>
          </w:p>
        </w:tc>
        <w:tc>
          <w:tcPr>
            <w:tcW w:w="1869" w:type="pct"/>
            <w:vAlign w:val="center"/>
          </w:tcPr>
          <w:p w14:paraId="143D745C">
            <w:pPr>
              <w:jc w:val="left"/>
              <w:rPr>
                <w:rFonts w:eastAsia="仿宋"/>
                <w:szCs w:val="21"/>
              </w:rPr>
            </w:pPr>
            <w:r>
              <w:rPr>
                <w:rFonts w:eastAsia="仿宋"/>
                <w:szCs w:val="21"/>
              </w:rPr>
              <w:t>岁修时及时采取维修措施</w:t>
            </w:r>
          </w:p>
        </w:tc>
      </w:tr>
      <w:tr w14:paraId="0781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0" w:type="pct"/>
            <w:vAlign w:val="center"/>
          </w:tcPr>
          <w:p w14:paraId="30934F4E">
            <w:pPr>
              <w:jc w:val="center"/>
              <w:rPr>
                <w:rFonts w:eastAsia="仿宋"/>
                <w:b/>
                <w:szCs w:val="21"/>
              </w:rPr>
            </w:pPr>
            <w:r>
              <w:rPr>
                <w:rFonts w:eastAsia="仿宋"/>
                <w:b/>
                <w:szCs w:val="21"/>
              </w:rPr>
              <w:t>三级</w:t>
            </w:r>
          </w:p>
        </w:tc>
        <w:tc>
          <w:tcPr>
            <w:tcW w:w="2690" w:type="pct"/>
            <w:vAlign w:val="center"/>
          </w:tcPr>
          <w:p w14:paraId="1E563E9A">
            <w:pPr>
              <w:rPr>
                <w:rFonts w:eastAsia="仿宋"/>
                <w:szCs w:val="21"/>
              </w:rPr>
            </w:pPr>
            <w:r>
              <w:rPr>
                <w:rFonts w:eastAsia="仿宋"/>
                <w:szCs w:val="21"/>
              </w:rPr>
              <w:t>船闸整体破损明显，大部分指标低于设计标准要求，工程存在严重损坏，变形变位明显超出设计允许范围，已影响船闸安全运行。</w:t>
            </w:r>
          </w:p>
        </w:tc>
        <w:tc>
          <w:tcPr>
            <w:tcW w:w="1869" w:type="pct"/>
            <w:vAlign w:val="center"/>
          </w:tcPr>
          <w:p w14:paraId="6DAC568F">
            <w:pPr>
              <w:jc w:val="left"/>
              <w:rPr>
                <w:rFonts w:eastAsia="仿宋"/>
                <w:szCs w:val="21"/>
              </w:rPr>
            </w:pPr>
            <w:r>
              <w:rPr>
                <w:rFonts w:eastAsia="仿宋"/>
                <w:szCs w:val="21"/>
              </w:rPr>
              <w:t>立即开展大修或抢修工作</w:t>
            </w:r>
          </w:p>
        </w:tc>
      </w:tr>
      <w:tr w14:paraId="7ADE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0" w:type="pct"/>
            <w:vAlign w:val="center"/>
          </w:tcPr>
          <w:p w14:paraId="14688956">
            <w:pPr>
              <w:jc w:val="center"/>
              <w:rPr>
                <w:rFonts w:eastAsia="仿宋"/>
                <w:b/>
                <w:szCs w:val="21"/>
              </w:rPr>
            </w:pPr>
            <w:r>
              <w:rPr>
                <w:rFonts w:eastAsia="仿宋"/>
                <w:b/>
                <w:szCs w:val="21"/>
              </w:rPr>
              <w:t>四级</w:t>
            </w:r>
          </w:p>
        </w:tc>
        <w:tc>
          <w:tcPr>
            <w:tcW w:w="2690" w:type="pct"/>
            <w:vAlign w:val="center"/>
          </w:tcPr>
          <w:p w14:paraId="09695773">
            <w:pPr>
              <w:rPr>
                <w:rFonts w:eastAsia="仿宋"/>
                <w:szCs w:val="21"/>
              </w:rPr>
            </w:pPr>
            <w:r>
              <w:rPr>
                <w:rFonts w:eastAsia="仿宋"/>
                <w:szCs w:val="21"/>
              </w:rPr>
              <w:t>船闸整体破损严重，大部分指标显著低于设计标准要求，变形变位过大，工程存在严重安全隐患。</w:t>
            </w:r>
          </w:p>
        </w:tc>
        <w:tc>
          <w:tcPr>
            <w:tcW w:w="1869" w:type="pct"/>
            <w:vAlign w:val="center"/>
          </w:tcPr>
          <w:p w14:paraId="294C9AE4">
            <w:pPr>
              <w:jc w:val="left"/>
              <w:rPr>
                <w:rFonts w:eastAsia="仿宋"/>
                <w:szCs w:val="21"/>
              </w:rPr>
            </w:pPr>
            <w:r>
              <w:rPr>
                <w:rFonts w:eastAsia="仿宋"/>
                <w:szCs w:val="21"/>
              </w:rPr>
              <w:t>视条件修复后降低等级运行或报废重建</w:t>
            </w:r>
          </w:p>
        </w:tc>
      </w:tr>
    </w:tbl>
    <w:p w14:paraId="518DEAA3">
      <w:pPr>
        <w:spacing w:line="360" w:lineRule="auto"/>
        <w:ind w:firstLine="562" w:firstLineChars="200"/>
        <w:rPr>
          <w:rFonts w:eastAsia="仿宋"/>
          <w:b/>
          <w:bCs/>
          <w:kern w:val="0"/>
          <w:sz w:val="28"/>
          <w:szCs w:val="28"/>
        </w:rPr>
      </w:pPr>
      <w:r>
        <w:rPr>
          <w:rFonts w:eastAsia="仿宋"/>
          <w:b/>
          <w:bCs/>
          <w:kern w:val="0"/>
          <w:sz w:val="28"/>
          <w:szCs w:val="28"/>
        </w:rPr>
        <w:t>（6）技术档案</w:t>
      </w:r>
    </w:p>
    <w:p w14:paraId="4C6F43F5">
      <w:pPr>
        <w:spacing w:line="360" w:lineRule="auto"/>
        <w:ind w:firstLine="560" w:firstLineChars="200"/>
        <w:rPr>
          <w:rFonts w:eastAsia="仿宋"/>
          <w:kern w:val="0"/>
          <w:sz w:val="28"/>
          <w:szCs w:val="28"/>
        </w:rPr>
      </w:pPr>
      <w:r>
        <w:rPr>
          <w:rFonts w:eastAsia="仿宋"/>
          <w:kern w:val="0"/>
          <w:sz w:val="28"/>
          <w:szCs w:val="28"/>
        </w:rPr>
        <w:t>根据《江苏省航道养护管理办法》、部颁《航道养护技术核查指南》等相关要求，结合船闸检测评估实际需要，规定船闸管理机构必须建立船闸维护技术档案，主要包括基础资料及维护管理资料。基础资料包括设计文件级竣工图、交（竣）工验收资料、施工过程中的结构位移或变形观测资料等。维护管理资料包括、维护工作计划、检查记录、检测及评估报告、维护工程技术资料、使用过程中的结构位移或变形观测资料、设施管理台账等。</w:t>
      </w:r>
    </w:p>
    <w:p w14:paraId="638EF88D">
      <w:pPr>
        <w:spacing w:before="360" w:after="240"/>
        <w:outlineLvl w:val="0"/>
        <w:rPr>
          <w:rFonts w:eastAsia="仿宋"/>
          <w:b/>
          <w:bCs/>
          <w:sz w:val="28"/>
          <w:szCs w:val="28"/>
        </w:rPr>
      </w:pPr>
      <w:bookmarkStart w:id="5" w:name="_Toc27489"/>
      <w:r>
        <w:rPr>
          <w:rFonts w:eastAsia="仿宋"/>
          <w:b/>
          <w:bCs/>
          <w:sz w:val="28"/>
          <w:szCs w:val="28"/>
        </w:rPr>
        <w:t>五、重大分歧意见的处理过程和依据</w:t>
      </w:r>
      <w:bookmarkEnd w:id="5"/>
    </w:p>
    <w:p w14:paraId="7EE21E4C">
      <w:pPr>
        <w:spacing w:line="360" w:lineRule="auto"/>
        <w:ind w:firstLine="560" w:firstLineChars="200"/>
        <w:rPr>
          <w:rFonts w:eastAsia="仿宋"/>
          <w:sz w:val="28"/>
          <w:szCs w:val="28"/>
        </w:rPr>
      </w:pPr>
      <w:r>
        <w:rPr>
          <w:rFonts w:eastAsia="仿宋"/>
          <w:sz w:val="28"/>
          <w:szCs w:val="28"/>
        </w:rPr>
        <w:t>无。</w:t>
      </w:r>
    </w:p>
    <w:p w14:paraId="43B14B16">
      <w:pPr>
        <w:spacing w:before="360" w:after="240"/>
        <w:outlineLvl w:val="0"/>
        <w:rPr>
          <w:rFonts w:eastAsia="仿宋"/>
          <w:b/>
          <w:bCs/>
          <w:sz w:val="28"/>
          <w:szCs w:val="28"/>
        </w:rPr>
      </w:pPr>
      <w:bookmarkStart w:id="6" w:name="_Toc30148"/>
      <w:r>
        <w:rPr>
          <w:rFonts w:eastAsia="仿宋"/>
          <w:b/>
          <w:bCs/>
          <w:sz w:val="28"/>
          <w:szCs w:val="28"/>
        </w:rPr>
        <w:t>六、与相关法律法规和标准的关系</w:t>
      </w:r>
      <w:bookmarkEnd w:id="6"/>
    </w:p>
    <w:p w14:paraId="039A600A">
      <w:pPr>
        <w:spacing w:line="360" w:lineRule="auto"/>
        <w:ind w:firstLine="560" w:firstLineChars="200"/>
        <w:rPr>
          <w:rFonts w:eastAsia="仿宋"/>
          <w:sz w:val="28"/>
          <w:szCs w:val="28"/>
        </w:rPr>
      </w:pPr>
      <w:r>
        <w:rPr>
          <w:rFonts w:eastAsia="仿宋"/>
          <w:sz w:val="28"/>
          <w:szCs w:val="28"/>
        </w:rPr>
        <w:t>在制定标准过程中，本标准课题组严格遵循以下标准化法律、法规、规范的规定，作为本标准起草的重要依据：</w:t>
      </w:r>
    </w:p>
    <w:p w14:paraId="54631954">
      <w:pPr>
        <w:spacing w:line="360" w:lineRule="auto"/>
        <w:ind w:firstLine="560" w:firstLineChars="200"/>
        <w:rPr>
          <w:rFonts w:eastAsia="仿宋"/>
          <w:sz w:val="28"/>
          <w:szCs w:val="28"/>
        </w:rPr>
      </w:pPr>
      <w:r>
        <w:rPr>
          <w:rFonts w:eastAsia="仿宋"/>
          <w:sz w:val="28"/>
          <w:szCs w:val="28"/>
        </w:rPr>
        <w:t>GB/T 1.1—2020  标准化工作导则  第1部分：标准化文件的结构和起草规则</w:t>
      </w:r>
    </w:p>
    <w:p w14:paraId="78CF801B">
      <w:pPr>
        <w:spacing w:line="360" w:lineRule="auto"/>
        <w:ind w:firstLine="560" w:firstLineChars="200"/>
        <w:rPr>
          <w:rFonts w:eastAsia="仿宋"/>
          <w:sz w:val="28"/>
          <w:szCs w:val="28"/>
        </w:rPr>
      </w:pPr>
      <w:bookmarkStart w:id="7" w:name="_Hlk174778349"/>
      <w:r>
        <w:rPr>
          <w:rFonts w:eastAsia="仿宋"/>
          <w:sz w:val="28"/>
          <w:szCs w:val="28"/>
        </w:rPr>
        <w:t>JTS 304  《水运工程水工建筑物检测与评估技术规范》</w:t>
      </w:r>
    </w:p>
    <w:bookmarkEnd w:id="7"/>
    <w:p w14:paraId="4B728EC8">
      <w:pPr>
        <w:spacing w:line="360" w:lineRule="auto"/>
        <w:ind w:firstLine="560" w:firstLineChars="200"/>
        <w:rPr>
          <w:rFonts w:eastAsia="仿宋"/>
          <w:sz w:val="28"/>
          <w:szCs w:val="28"/>
        </w:rPr>
      </w:pPr>
      <w:r>
        <w:rPr>
          <w:rFonts w:eastAsia="仿宋"/>
          <w:sz w:val="28"/>
          <w:szCs w:val="28"/>
        </w:rPr>
        <w:t>JTS 320  《通航建筑物维护技术规范》</w:t>
      </w:r>
    </w:p>
    <w:p w14:paraId="04DC7BFB">
      <w:pPr>
        <w:spacing w:line="360" w:lineRule="auto"/>
        <w:ind w:firstLine="560" w:firstLineChars="200"/>
        <w:rPr>
          <w:rFonts w:eastAsia="仿宋"/>
          <w:sz w:val="28"/>
          <w:szCs w:val="28"/>
        </w:rPr>
      </w:pPr>
      <w:r>
        <w:rPr>
          <w:rFonts w:eastAsia="仿宋"/>
          <w:sz w:val="28"/>
          <w:szCs w:val="28"/>
        </w:rPr>
        <w:t>JTS 196  《三峡船闸设施安全检测技术规程》</w:t>
      </w:r>
    </w:p>
    <w:p w14:paraId="198D0030">
      <w:pPr>
        <w:spacing w:line="360" w:lineRule="auto"/>
        <w:ind w:firstLine="560" w:firstLineChars="200"/>
        <w:rPr>
          <w:rFonts w:eastAsia="仿宋"/>
          <w:sz w:val="28"/>
          <w:szCs w:val="28"/>
        </w:rPr>
      </w:pPr>
      <w:r>
        <w:rPr>
          <w:rFonts w:eastAsia="仿宋"/>
          <w:sz w:val="28"/>
          <w:szCs w:val="28"/>
        </w:rPr>
        <w:t>SL 214  《水闸安全评价导则》</w:t>
      </w:r>
    </w:p>
    <w:p w14:paraId="514CE729">
      <w:pPr>
        <w:spacing w:line="360" w:lineRule="auto"/>
        <w:ind w:firstLine="560" w:firstLineChars="200"/>
        <w:rPr>
          <w:rFonts w:eastAsia="仿宋"/>
          <w:sz w:val="28"/>
          <w:szCs w:val="28"/>
        </w:rPr>
      </w:pPr>
      <w:r>
        <w:rPr>
          <w:rFonts w:eastAsia="仿宋"/>
          <w:sz w:val="28"/>
          <w:szCs w:val="28"/>
        </w:rPr>
        <w:t>DL/T 835  《水工钢闸门和启闭机安全检测技术规程》</w:t>
      </w:r>
    </w:p>
    <w:p w14:paraId="0E4CF2CE">
      <w:pPr>
        <w:spacing w:line="360" w:lineRule="auto"/>
        <w:ind w:firstLine="560" w:firstLineChars="200"/>
        <w:rPr>
          <w:rFonts w:eastAsia="仿宋"/>
          <w:sz w:val="28"/>
          <w:szCs w:val="28"/>
        </w:rPr>
      </w:pPr>
      <w:r>
        <w:rPr>
          <w:rFonts w:eastAsia="仿宋"/>
          <w:sz w:val="28"/>
          <w:szCs w:val="28"/>
        </w:rPr>
        <w:t>JTJ 307  《船闸水工建筑物设计规范》</w:t>
      </w:r>
    </w:p>
    <w:p w14:paraId="390B7352">
      <w:pPr>
        <w:spacing w:line="360" w:lineRule="auto"/>
        <w:ind w:firstLine="560" w:firstLineChars="200"/>
        <w:rPr>
          <w:rFonts w:eastAsia="仿宋"/>
          <w:sz w:val="28"/>
          <w:szCs w:val="28"/>
        </w:rPr>
      </w:pPr>
      <w:r>
        <w:rPr>
          <w:rFonts w:eastAsia="仿宋"/>
          <w:sz w:val="28"/>
          <w:szCs w:val="28"/>
        </w:rPr>
        <w:t>JTJ 308  《船闸闸阀门设计规范》</w:t>
      </w:r>
    </w:p>
    <w:p w14:paraId="0753EA42">
      <w:pPr>
        <w:spacing w:line="360" w:lineRule="auto"/>
        <w:ind w:firstLine="560" w:firstLineChars="200"/>
        <w:rPr>
          <w:rFonts w:eastAsia="仿宋"/>
          <w:sz w:val="28"/>
          <w:szCs w:val="28"/>
        </w:rPr>
      </w:pPr>
      <w:bookmarkStart w:id="8" w:name="_Hlk174780273"/>
      <w:r>
        <w:rPr>
          <w:rFonts w:eastAsia="仿宋"/>
          <w:sz w:val="28"/>
          <w:szCs w:val="28"/>
        </w:rPr>
        <w:t>《水运工程水工建筑物检测与评估技术规范》（JTS 304-2019）</w:t>
      </w:r>
      <w:bookmarkEnd w:id="8"/>
      <w:r>
        <w:rPr>
          <w:rFonts w:eastAsia="仿宋"/>
          <w:sz w:val="28"/>
          <w:szCs w:val="28"/>
        </w:rPr>
        <w:t>主要侧重于船闸水工建筑物检测与评估，本标准是对船闸整体进行检测与评估，增加了船闸闸阀门检测与评估以及启闭机检测，优化完善了船闸工程检测评估体系，是行业标准《水运工程水工建筑物检测与评估技术规范》（JTS 304-2019）的有效补充完善。</w:t>
      </w:r>
    </w:p>
    <w:p w14:paraId="394E94CF">
      <w:pPr>
        <w:spacing w:before="360" w:after="240"/>
        <w:outlineLvl w:val="0"/>
        <w:rPr>
          <w:rFonts w:eastAsia="仿宋"/>
          <w:b/>
          <w:bCs/>
          <w:sz w:val="28"/>
          <w:szCs w:val="28"/>
        </w:rPr>
      </w:pPr>
      <w:bookmarkStart w:id="9" w:name="_Toc31095"/>
      <w:r>
        <w:rPr>
          <w:rFonts w:eastAsia="仿宋"/>
          <w:b/>
          <w:bCs/>
          <w:sz w:val="28"/>
          <w:szCs w:val="28"/>
        </w:rPr>
        <w:t>七、推广实施建议</w:t>
      </w:r>
      <w:bookmarkEnd w:id="9"/>
    </w:p>
    <w:p w14:paraId="16AF90D5">
      <w:pPr>
        <w:spacing w:line="360" w:lineRule="auto"/>
        <w:ind w:firstLine="562" w:firstLineChars="200"/>
        <w:rPr>
          <w:rFonts w:eastAsia="仿宋"/>
          <w:b/>
          <w:bCs/>
          <w:sz w:val="28"/>
          <w:szCs w:val="28"/>
        </w:rPr>
      </w:pPr>
      <w:r>
        <w:rPr>
          <w:rFonts w:eastAsia="仿宋"/>
          <w:b/>
          <w:bCs/>
          <w:sz w:val="28"/>
          <w:szCs w:val="28"/>
        </w:rPr>
        <w:t>（1）加强标准在江苏省交通系统实施的应用，推进标准实施</w:t>
      </w:r>
    </w:p>
    <w:p w14:paraId="685407BB">
      <w:pPr>
        <w:spacing w:line="360" w:lineRule="auto"/>
        <w:ind w:firstLine="560" w:firstLineChars="200"/>
        <w:rPr>
          <w:rFonts w:eastAsia="仿宋"/>
          <w:sz w:val="28"/>
          <w:szCs w:val="28"/>
        </w:rPr>
      </w:pPr>
      <w:r>
        <w:rPr>
          <w:rFonts w:eastAsia="仿宋"/>
          <w:sz w:val="28"/>
          <w:szCs w:val="28"/>
        </w:rPr>
        <w:t>建议各级交通主管部门、相关监督管理部门及从事船闸检测的企业，在进行船闸技术状况检测过程中，积极采用本标准。本标准为第一次制定，符合从事船闸建造养护企业的发展和需要，建议颁布后一个月内实施。</w:t>
      </w:r>
    </w:p>
    <w:p w14:paraId="7AB96E4A">
      <w:pPr>
        <w:spacing w:line="360" w:lineRule="auto"/>
        <w:ind w:firstLine="562" w:firstLineChars="200"/>
        <w:rPr>
          <w:rFonts w:eastAsia="仿宋"/>
          <w:b/>
          <w:bCs/>
          <w:sz w:val="28"/>
          <w:szCs w:val="28"/>
        </w:rPr>
      </w:pPr>
      <w:r>
        <w:rPr>
          <w:rFonts w:eastAsia="仿宋"/>
          <w:b/>
          <w:bCs/>
          <w:sz w:val="28"/>
          <w:szCs w:val="28"/>
        </w:rPr>
        <w:t>（2）加大标准宣贯力度，扩大宣贯范围</w:t>
      </w:r>
    </w:p>
    <w:p w14:paraId="36C91986">
      <w:pPr>
        <w:spacing w:line="360" w:lineRule="auto"/>
        <w:ind w:firstLine="560" w:firstLineChars="200"/>
        <w:rPr>
          <w:rFonts w:eastAsia="仿宋"/>
          <w:sz w:val="28"/>
          <w:szCs w:val="28"/>
        </w:rPr>
      </w:pPr>
      <w:r>
        <w:rPr>
          <w:rFonts w:eastAsia="仿宋"/>
          <w:sz w:val="28"/>
          <w:szCs w:val="28"/>
        </w:rPr>
        <w:t>标准的宣贯工作不仅包括标准文本本身，还应包括标准的编制说明，使得标准使用者不仅了解标准文本中规定的内容，还了解本标准编制说明中对于标准制定背景、制定依据等内容，以利于标准的贯彻执行。</w:t>
      </w:r>
    </w:p>
    <w:p w14:paraId="5BE50145">
      <w:pPr>
        <w:spacing w:line="360" w:lineRule="auto"/>
        <w:ind w:firstLine="562" w:firstLineChars="200"/>
        <w:rPr>
          <w:rFonts w:eastAsia="仿宋"/>
          <w:b/>
          <w:bCs/>
          <w:sz w:val="28"/>
          <w:szCs w:val="28"/>
        </w:rPr>
      </w:pPr>
      <w:r>
        <w:rPr>
          <w:rFonts w:eastAsia="仿宋"/>
          <w:b/>
          <w:bCs/>
          <w:sz w:val="28"/>
          <w:szCs w:val="28"/>
        </w:rPr>
        <w:t>（3）做好信息反馈和适用性评价，提高标准实施效果</w:t>
      </w:r>
    </w:p>
    <w:p w14:paraId="7B6E9ADD">
      <w:pPr>
        <w:spacing w:line="360" w:lineRule="auto"/>
        <w:ind w:firstLine="560" w:firstLineChars="200"/>
        <w:rPr>
          <w:rFonts w:eastAsia="仿宋"/>
          <w:sz w:val="28"/>
          <w:szCs w:val="28"/>
        </w:rPr>
      </w:pPr>
      <w:r>
        <w:rPr>
          <w:rFonts w:eastAsia="仿宋"/>
          <w:sz w:val="28"/>
          <w:szCs w:val="28"/>
        </w:rPr>
        <w:t>在本标准宣贯后，要时刻跟踪本标准关于船闸技术状况检测过程中的实施情况，记录标准在实际应用中的具体效果，对于实用性不强、适用性差的条款要及时反馈到相关行业管理部门，以便采取相应的措施。</w:t>
      </w:r>
    </w:p>
    <w:p w14:paraId="5D381894">
      <w:pPr>
        <w:spacing w:before="360" w:after="240"/>
        <w:outlineLvl w:val="0"/>
        <w:rPr>
          <w:rFonts w:eastAsia="仿宋"/>
          <w:b/>
          <w:bCs/>
          <w:sz w:val="28"/>
          <w:szCs w:val="28"/>
        </w:rPr>
      </w:pPr>
      <w:bookmarkStart w:id="10" w:name="_Toc8760"/>
      <w:r>
        <w:rPr>
          <w:rFonts w:eastAsia="仿宋"/>
          <w:b/>
          <w:bCs/>
          <w:sz w:val="28"/>
          <w:szCs w:val="28"/>
        </w:rPr>
        <w:t>八、起草单位和起草人员信息及分工</w:t>
      </w:r>
      <w:bookmarkEnd w:id="10"/>
    </w:p>
    <w:p w14:paraId="4C13CF30">
      <w:pPr>
        <w:spacing w:line="360" w:lineRule="auto"/>
        <w:ind w:firstLine="560" w:firstLineChars="200"/>
        <w:rPr>
          <w:rFonts w:eastAsia="仿宋"/>
          <w:sz w:val="28"/>
          <w:szCs w:val="28"/>
        </w:rPr>
      </w:pPr>
      <w:r>
        <w:rPr>
          <w:rFonts w:eastAsia="仿宋"/>
          <w:sz w:val="28"/>
          <w:szCs w:val="28"/>
        </w:rPr>
        <w:t>本标准起草单位为</w:t>
      </w:r>
      <w:r>
        <w:rPr>
          <w:rFonts w:hint="eastAsia" w:eastAsia="仿宋"/>
          <w:sz w:val="28"/>
          <w:szCs w:val="28"/>
        </w:rPr>
        <w:t>华设检测科技有限公司、江苏省交通运输厅港航事业发展中心、苏州市港航事业发展中心、华设设计集团股份有限公司、江苏省交通工程集团有限公司、东南大学</w:t>
      </w:r>
      <w:r>
        <w:rPr>
          <w:rFonts w:eastAsia="仿宋"/>
          <w:sz w:val="28"/>
          <w:szCs w:val="28"/>
        </w:rPr>
        <w:t>。</w:t>
      </w:r>
    </w:p>
    <w:p w14:paraId="41BD509C">
      <w:pPr>
        <w:spacing w:line="360" w:lineRule="auto"/>
        <w:ind w:firstLine="560" w:firstLineChars="200"/>
        <w:rPr>
          <w:rFonts w:eastAsia="仿宋"/>
          <w:sz w:val="28"/>
          <w:szCs w:val="28"/>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eastAsia="仿宋"/>
          <w:sz w:val="28"/>
          <w:szCs w:val="28"/>
        </w:rPr>
        <w:t>本标准主要起草人员为</w:t>
      </w:r>
      <w:r>
        <w:rPr>
          <w:rFonts w:hint="eastAsia" w:eastAsia="仿宋"/>
          <w:sz w:val="28"/>
          <w:szCs w:val="28"/>
        </w:rPr>
        <w:t>陶屹、高莉、吉同元、毛宁、李鹏飞、蒋玉军、徐云辉、葛晓栋、刘剑欢、滕荣、陆文军、张银、简细明、唐晓暄、束荣、徐啸、夏巳旻、章定文、戴振华、袁媛、赵龙、张润、丁国庆、徐兴路、胡文高</w:t>
      </w:r>
      <w:r>
        <w:rPr>
          <w:rFonts w:eastAsia="仿宋"/>
          <w:sz w:val="28"/>
          <w:szCs w:val="28"/>
        </w:rPr>
        <w:t>。标准编制分工如表8.1-1所示。</w:t>
      </w:r>
    </w:p>
    <w:p w14:paraId="3AA675D5">
      <w:pPr>
        <w:jc w:val="center"/>
        <w:rPr>
          <w:b/>
          <w:bCs/>
        </w:rPr>
      </w:pPr>
      <w:r>
        <w:rPr>
          <w:b/>
          <w:bCs/>
        </w:rPr>
        <w:t>表8.1-1  任务分工</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0"/>
        <w:gridCol w:w="3163"/>
        <w:gridCol w:w="2606"/>
      </w:tblGrid>
      <w:tr w14:paraId="35D1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blHeader/>
          <w:jc w:val="center"/>
        </w:trPr>
        <w:tc>
          <w:tcPr>
            <w:tcW w:w="1614" w:type="pct"/>
            <w:noWrap/>
            <w:vAlign w:val="center"/>
          </w:tcPr>
          <w:p w14:paraId="1F033BCE">
            <w:pPr>
              <w:jc w:val="center"/>
            </w:pPr>
            <w:r>
              <w:rPr>
                <w:b/>
                <w:bCs/>
              </w:rPr>
              <w:t>一级章节</w:t>
            </w:r>
          </w:p>
        </w:tc>
        <w:tc>
          <w:tcPr>
            <w:tcW w:w="1856" w:type="pct"/>
            <w:vAlign w:val="center"/>
          </w:tcPr>
          <w:p w14:paraId="5A1A15FE">
            <w:pPr>
              <w:jc w:val="center"/>
              <w:rPr>
                <w:b/>
                <w:bCs/>
              </w:rPr>
            </w:pPr>
            <w:r>
              <w:rPr>
                <w:b/>
                <w:bCs/>
              </w:rPr>
              <w:t>二级章节</w:t>
            </w:r>
          </w:p>
        </w:tc>
        <w:tc>
          <w:tcPr>
            <w:tcW w:w="1529" w:type="pct"/>
            <w:vAlign w:val="center"/>
          </w:tcPr>
          <w:p w14:paraId="35CA880B">
            <w:pPr>
              <w:jc w:val="center"/>
              <w:rPr>
                <w:b/>
                <w:bCs/>
                <w:highlight w:val="yellow"/>
              </w:rPr>
            </w:pPr>
            <w:r>
              <w:rPr>
                <w:rFonts w:hint="eastAsia"/>
                <w:b/>
                <w:bCs/>
              </w:rPr>
              <w:t>编制人员</w:t>
            </w:r>
          </w:p>
        </w:tc>
      </w:tr>
      <w:tr w14:paraId="3A5D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noWrap/>
            <w:vAlign w:val="center"/>
          </w:tcPr>
          <w:p w14:paraId="4CEC3A20">
            <w:r>
              <w:t>1 范围</w:t>
            </w:r>
          </w:p>
        </w:tc>
        <w:tc>
          <w:tcPr>
            <w:tcW w:w="1856" w:type="pct"/>
            <w:vAlign w:val="center"/>
          </w:tcPr>
          <w:p w14:paraId="1D7EC2DB">
            <w:r>
              <w:t>-</w:t>
            </w:r>
          </w:p>
        </w:tc>
        <w:tc>
          <w:tcPr>
            <w:tcW w:w="1529" w:type="pct"/>
            <w:vMerge w:val="restart"/>
            <w:vAlign w:val="center"/>
          </w:tcPr>
          <w:p w14:paraId="23060E3F">
            <w:pPr>
              <w:jc w:val="center"/>
            </w:pPr>
            <w:r>
              <w:rPr>
                <w:rFonts w:hint="eastAsia"/>
              </w:rPr>
              <w:t>高莉、毛宁、徐云辉</w:t>
            </w:r>
          </w:p>
        </w:tc>
      </w:tr>
      <w:tr w14:paraId="3B68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noWrap/>
            <w:vAlign w:val="center"/>
          </w:tcPr>
          <w:p w14:paraId="296067BF">
            <w:r>
              <w:t>2 规范性引用文件</w:t>
            </w:r>
          </w:p>
        </w:tc>
        <w:tc>
          <w:tcPr>
            <w:tcW w:w="1856" w:type="pct"/>
            <w:vAlign w:val="center"/>
          </w:tcPr>
          <w:p w14:paraId="7278D7EF">
            <w:r>
              <w:t>-</w:t>
            </w:r>
          </w:p>
        </w:tc>
        <w:tc>
          <w:tcPr>
            <w:tcW w:w="1529" w:type="pct"/>
            <w:vMerge w:val="continue"/>
            <w:vAlign w:val="center"/>
          </w:tcPr>
          <w:p w14:paraId="2100EBF4">
            <w:pPr>
              <w:jc w:val="center"/>
            </w:pPr>
          </w:p>
        </w:tc>
      </w:tr>
      <w:tr w14:paraId="1129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noWrap/>
            <w:vAlign w:val="center"/>
          </w:tcPr>
          <w:p w14:paraId="3BC75F39">
            <w:r>
              <w:t>3 术语和定义</w:t>
            </w:r>
          </w:p>
        </w:tc>
        <w:tc>
          <w:tcPr>
            <w:tcW w:w="1856" w:type="pct"/>
            <w:vAlign w:val="center"/>
          </w:tcPr>
          <w:p w14:paraId="6A9CD350">
            <w:r>
              <w:t>-</w:t>
            </w:r>
          </w:p>
        </w:tc>
        <w:tc>
          <w:tcPr>
            <w:tcW w:w="1529" w:type="pct"/>
            <w:vMerge w:val="continue"/>
            <w:vAlign w:val="center"/>
          </w:tcPr>
          <w:p w14:paraId="1D639A74">
            <w:pPr>
              <w:jc w:val="center"/>
            </w:pPr>
          </w:p>
        </w:tc>
      </w:tr>
      <w:tr w14:paraId="1D23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noWrap/>
            <w:vAlign w:val="center"/>
          </w:tcPr>
          <w:p w14:paraId="6E0A8A96">
            <w:r>
              <w:t>4 总则</w:t>
            </w:r>
          </w:p>
        </w:tc>
        <w:tc>
          <w:tcPr>
            <w:tcW w:w="1856" w:type="pct"/>
            <w:vAlign w:val="center"/>
          </w:tcPr>
          <w:p w14:paraId="2573865E">
            <w:r>
              <w:t>-</w:t>
            </w:r>
          </w:p>
        </w:tc>
        <w:tc>
          <w:tcPr>
            <w:tcW w:w="1529" w:type="pct"/>
            <w:vAlign w:val="center"/>
          </w:tcPr>
          <w:p w14:paraId="5BF690F3">
            <w:pPr>
              <w:jc w:val="center"/>
            </w:pPr>
            <w:r>
              <w:rPr>
                <w:rFonts w:hint="eastAsia"/>
              </w:rPr>
              <w:t>滕荣、唐晓暄、徐啸</w:t>
            </w:r>
          </w:p>
        </w:tc>
      </w:tr>
      <w:tr w14:paraId="062C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vMerge w:val="restart"/>
            <w:noWrap/>
            <w:vAlign w:val="center"/>
          </w:tcPr>
          <w:p w14:paraId="7A01688A">
            <w:r>
              <w:t>5 基本规定</w:t>
            </w:r>
          </w:p>
        </w:tc>
        <w:tc>
          <w:tcPr>
            <w:tcW w:w="1856" w:type="pct"/>
            <w:vAlign w:val="center"/>
          </w:tcPr>
          <w:p w14:paraId="23147643">
            <w:r>
              <w:t>5.1一般规定</w:t>
            </w:r>
          </w:p>
        </w:tc>
        <w:tc>
          <w:tcPr>
            <w:tcW w:w="1529" w:type="pct"/>
            <w:vMerge w:val="restart"/>
            <w:vAlign w:val="center"/>
          </w:tcPr>
          <w:p w14:paraId="6309B331">
            <w:pPr>
              <w:jc w:val="center"/>
            </w:pPr>
            <w:r>
              <w:rPr>
                <w:rFonts w:hint="eastAsia"/>
              </w:rPr>
              <w:t>蒋玉军、葛晓栋、陆文军</w:t>
            </w:r>
          </w:p>
        </w:tc>
      </w:tr>
      <w:tr w14:paraId="515E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vMerge w:val="continue"/>
            <w:noWrap/>
            <w:vAlign w:val="center"/>
          </w:tcPr>
          <w:p w14:paraId="6C293EDB"/>
        </w:tc>
        <w:tc>
          <w:tcPr>
            <w:tcW w:w="1856" w:type="pct"/>
            <w:vAlign w:val="center"/>
          </w:tcPr>
          <w:p w14:paraId="055D4DF3">
            <w:r>
              <w:t>5.2检测评估工作流程</w:t>
            </w:r>
          </w:p>
        </w:tc>
        <w:tc>
          <w:tcPr>
            <w:tcW w:w="1529" w:type="pct"/>
            <w:vMerge w:val="continue"/>
            <w:vAlign w:val="center"/>
          </w:tcPr>
          <w:p w14:paraId="67841674">
            <w:pPr>
              <w:jc w:val="center"/>
            </w:pPr>
          </w:p>
        </w:tc>
      </w:tr>
      <w:tr w14:paraId="09EF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vMerge w:val="continue"/>
            <w:noWrap/>
            <w:vAlign w:val="center"/>
          </w:tcPr>
          <w:p w14:paraId="273C3FD9"/>
        </w:tc>
        <w:tc>
          <w:tcPr>
            <w:tcW w:w="1856" w:type="pct"/>
            <w:vAlign w:val="center"/>
          </w:tcPr>
          <w:p w14:paraId="4D6A348F">
            <w:r>
              <w:t>5.3资料整理与分析</w:t>
            </w:r>
          </w:p>
        </w:tc>
        <w:tc>
          <w:tcPr>
            <w:tcW w:w="1529" w:type="pct"/>
            <w:vMerge w:val="continue"/>
            <w:vAlign w:val="center"/>
          </w:tcPr>
          <w:p w14:paraId="7E6F2BC9">
            <w:pPr>
              <w:jc w:val="center"/>
            </w:pPr>
          </w:p>
        </w:tc>
      </w:tr>
      <w:tr w14:paraId="22547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continue"/>
            <w:noWrap/>
            <w:vAlign w:val="center"/>
          </w:tcPr>
          <w:p w14:paraId="4C2810A0"/>
        </w:tc>
        <w:tc>
          <w:tcPr>
            <w:tcW w:w="1856" w:type="pct"/>
            <w:vAlign w:val="center"/>
          </w:tcPr>
          <w:p w14:paraId="3812A64A">
            <w:r>
              <w:t>5.4成果报告</w:t>
            </w:r>
          </w:p>
        </w:tc>
        <w:tc>
          <w:tcPr>
            <w:tcW w:w="1529" w:type="pct"/>
            <w:vMerge w:val="continue"/>
            <w:vAlign w:val="center"/>
          </w:tcPr>
          <w:p w14:paraId="3E822865">
            <w:pPr>
              <w:jc w:val="center"/>
            </w:pPr>
          </w:p>
        </w:tc>
      </w:tr>
      <w:tr w14:paraId="35B4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noWrap/>
            <w:vAlign w:val="center"/>
          </w:tcPr>
          <w:p w14:paraId="1D761DB6">
            <w:r>
              <w:t>6 定期检查</w:t>
            </w:r>
          </w:p>
        </w:tc>
        <w:tc>
          <w:tcPr>
            <w:tcW w:w="1856" w:type="pct"/>
            <w:vAlign w:val="center"/>
          </w:tcPr>
          <w:p w14:paraId="575EA0CA">
            <w:r>
              <w:t>-</w:t>
            </w:r>
          </w:p>
        </w:tc>
        <w:tc>
          <w:tcPr>
            <w:tcW w:w="1529" w:type="pct"/>
            <w:vAlign w:val="center"/>
          </w:tcPr>
          <w:p w14:paraId="644B3EC5">
            <w:pPr>
              <w:jc w:val="center"/>
            </w:pPr>
            <w:r>
              <w:rPr>
                <w:rFonts w:hint="eastAsia"/>
              </w:rPr>
              <w:t>陶屹、吉同元、简细明</w:t>
            </w:r>
          </w:p>
        </w:tc>
      </w:tr>
      <w:tr w14:paraId="38CB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vMerge w:val="restart"/>
            <w:noWrap/>
            <w:vAlign w:val="center"/>
          </w:tcPr>
          <w:p w14:paraId="5576CA48">
            <w:r>
              <w:t>7 定期测量观测</w:t>
            </w:r>
          </w:p>
        </w:tc>
        <w:tc>
          <w:tcPr>
            <w:tcW w:w="1856" w:type="pct"/>
            <w:vAlign w:val="center"/>
          </w:tcPr>
          <w:p w14:paraId="493B1E7F">
            <w:r>
              <w:t>7.1一般规定</w:t>
            </w:r>
          </w:p>
        </w:tc>
        <w:tc>
          <w:tcPr>
            <w:tcW w:w="1529" w:type="pct"/>
            <w:vMerge w:val="restart"/>
            <w:vAlign w:val="center"/>
          </w:tcPr>
          <w:p w14:paraId="7C0DCF04">
            <w:pPr>
              <w:jc w:val="center"/>
            </w:pPr>
            <w:r>
              <w:rPr>
                <w:rFonts w:hint="eastAsia"/>
              </w:rPr>
              <w:t>李鹏飞、束荣、丁国庆</w:t>
            </w:r>
          </w:p>
        </w:tc>
      </w:tr>
      <w:tr w14:paraId="5078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vMerge w:val="continue"/>
            <w:noWrap/>
            <w:vAlign w:val="center"/>
          </w:tcPr>
          <w:p w14:paraId="7CAB03E2"/>
        </w:tc>
        <w:tc>
          <w:tcPr>
            <w:tcW w:w="1856" w:type="pct"/>
            <w:vAlign w:val="center"/>
          </w:tcPr>
          <w:p w14:paraId="47C0E68B">
            <w:r>
              <w:t>7.2水平位移观测</w:t>
            </w:r>
          </w:p>
        </w:tc>
        <w:tc>
          <w:tcPr>
            <w:tcW w:w="1529" w:type="pct"/>
            <w:vMerge w:val="continue"/>
            <w:vAlign w:val="center"/>
          </w:tcPr>
          <w:p w14:paraId="4E593CA2">
            <w:pPr>
              <w:jc w:val="center"/>
            </w:pPr>
          </w:p>
        </w:tc>
      </w:tr>
      <w:tr w14:paraId="6855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14" w:type="pct"/>
            <w:vMerge w:val="continue"/>
            <w:noWrap/>
            <w:vAlign w:val="center"/>
          </w:tcPr>
          <w:p w14:paraId="26B411F6"/>
        </w:tc>
        <w:tc>
          <w:tcPr>
            <w:tcW w:w="1856" w:type="pct"/>
            <w:vAlign w:val="center"/>
          </w:tcPr>
          <w:p w14:paraId="6521DA17">
            <w:r>
              <w:t>7.3垂直位移观测</w:t>
            </w:r>
          </w:p>
        </w:tc>
        <w:tc>
          <w:tcPr>
            <w:tcW w:w="1529" w:type="pct"/>
            <w:vMerge w:val="continue"/>
            <w:vAlign w:val="center"/>
          </w:tcPr>
          <w:p w14:paraId="5EB88862">
            <w:pPr>
              <w:jc w:val="center"/>
            </w:pPr>
          </w:p>
        </w:tc>
      </w:tr>
      <w:tr w14:paraId="7925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continue"/>
            <w:vAlign w:val="center"/>
          </w:tcPr>
          <w:p w14:paraId="2090CD44"/>
        </w:tc>
        <w:tc>
          <w:tcPr>
            <w:tcW w:w="1856" w:type="pct"/>
            <w:vAlign w:val="center"/>
          </w:tcPr>
          <w:p w14:paraId="6E1F5E27">
            <w:r>
              <w:t>7.4水位观测</w:t>
            </w:r>
          </w:p>
        </w:tc>
        <w:tc>
          <w:tcPr>
            <w:tcW w:w="1529" w:type="pct"/>
            <w:vMerge w:val="continue"/>
            <w:vAlign w:val="center"/>
          </w:tcPr>
          <w:p w14:paraId="446BDDB4">
            <w:pPr>
              <w:jc w:val="center"/>
            </w:pPr>
          </w:p>
        </w:tc>
      </w:tr>
      <w:tr w14:paraId="1CB9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restart"/>
            <w:vAlign w:val="center"/>
          </w:tcPr>
          <w:p w14:paraId="1D62F002">
            <w:r>
              <w:t>8 定期检测</w:t>
            </w:r>
          </w:p>
        </w:tc>
        <w:tc>
          <w:tcPr>
            <w:tcW w:w="1856" w:type="pct"/>
            <w:vAlign w:val="center"/>
          </w:tcPr>
          <w:p w14:paraId="779E3D16">
            <w:r>
              <w:t>8.1一般规定</w:t>
            </w:r>
          </w:p>
        </w:tc>
        <w:tc>
          <w:tcPr>
            <w:tcW w:w="1529" w:type="pct"/>
            <w:vMerge w:val="restart"/>
            <w:vAlign w:val="center"/>
          </w:tcPr>
          <w:p w14:paraId="0C9A7652">
            <w:pPr>
              <w:jc w:val="center"/>
            </w:pPr>
            <w:r>
              <w:rPr>
                <w:rFonts w:hint="eastAsia"/>
              </w:rPr>
              <w:t>刘剑欢、徐兴路、赵龙、张润</w:t>
            </w:r>
          </w:p>
        </w:tc>
      </w:tr>
      <w:tr w14:paraId="1BA6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continue"/>
            <w:vAlign w:val="center"/>
          </w:tcPr>
          <w:p w14:paraId="24146F3C"/>
        </w:tc>
        <w:tc>
          <w:tcPr>
            <w:tcW w:w="1856" w:type="pct"/>
            <w:vAlign w:val="center"/>
          </w:tcPr>
          <w:p w14:paraId="3EFC1C66">
            <w:r>
              <w:t>8.2水工建筑物检测</w:t>
            </w:r>
          </w:p>
        </w:tc>
        <w:tc>
          <w:tcPr>
            <w:tcW w:w="1529" w:type="pct"/>
            <w:vMerge w:val="continue"/>
            <w:vAlign w:val="center"/>
          </w:tcPr>
          <w:p w14:paraId="68DA5975">
            <w:pPr>
              <w:jc w:val="center"/>
            </w:pPr>
          </w:p>
        </w:tc>
      </w:tr>
      <w:tr w14:paraId="6660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continue"/>
            <w:vAlign w:val="center"/>
          </w:tcPr>
          <w:p w14:paraId="681EE242"/>
        </w:tc>
        <w:tc>
          <w:tcPr>
            <w:tcW w:w="1856" w:type="pct"/>
            <w:vAlign w:val="center"/>
          </w:tcPr>
          <w:p w14:paraId="03DADAAB">
            <w:r>
              <w:t>8.3闸阀门检测</w:t>
            </w:r>
          </w:p>
        </w:tc>
        <w:tc>
          <w:tcPr>
            <w:tcW w:w="1529" w:type="pct"/>
            <w:vMerge w:val="continue"/>
            <w:vAlign w:val="center"/>
          </w:tcPr>
          <w:p w14:paraId="7E0379AE">
            <w:pPr>
              <w:jc w:val="center"/>
            </w:pPr>
          </w:p>
        </w:tc>
      </w:tr>
      <w:tr w14:paraId="4F81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continue"/>
            <w:vAlign w:val="center"/>
          </w:tcPr>
          <w:p w14:paraId="0CA5A277"/>
        </w:tc>
        <w:tc>
          <w:tcPr>
            <w:tcW w:w="1856" w:type="pct"/>
            <w:vAlign w:val="center"/>
          </w:tcPr>
          <w:p w14:paraId="49566F38">
            <w:r>
              <w:t>8.4启闭机检测</w:t>
            </w:r>
          </w:p>
        </w:tc>
        <w:tc>
          <w:tcPr>
            <w:tcW w:w="1529" w:type="pct"/>
            <w:vMerge w:val="continue"/>
            <w:vAlign w:val="center"/>
          </w:tcPr>
          <w:p w14:paraId="13F595D5">
            <w:pPr>
              <w:jc w:val="center"/>
            </w:pPr>
          </w:p>
        </w:tc>
      </w:tr>
      <w:tr w14:paraId="5408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continue"/>
            <w:vAlign w:val="center"/>
          </w:tcPr>
          <w:p w14:paraId="3FF1E2FF"/>
        </w:tc>
        <w:tc>
          <w:tcPr>
            <w:tcW w:w="1856" w:type="pct"/>
            <w:vAlign w:val="center"/>
          </w:tcPr>
          <w:p w14:paraId="3D9E3617">
            <w:r>
              <w:t>8.5电气设施检测</w:t>
            </w:r>
          </w:p>
        </w:tc>
        <w:tc>
          <w:tcPr>
            <w:tcW w:w="1529" w:type="pct"/>
            <w:vMerge w:val="continue"/>
            <w:vAlign w:val="center"/>
          </w:tcPr>
          <w:p w14:paraId="798DE7F2">
            <w:pPr>
              <w:jc w:val="center"/>
            </w:pPr>
          </w:p>
        </w:tc>
      </w:tr>
      <w:tr w14:paraId="01BAA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restart"/>
            <w:vAlign w:val="center"/>
          </w:tcPr>
          <w:p w14:paraId="5535EF69">
            <w:r>
              <w:t>9 评估复核</w:t>
            </w:r>
          </w:p>
        </w:tc>
        <w:tc>
          <w:tcPr>
            <w:tcW w:w="1856" w:type="pct"/>
            <w:vAlign w:val="center"/>
          </w:tcPr>
          <w:p w14:paraId="112E787F">
            <w:r>
              <w:t>9.1一般规定</w:t>
            </w:r>
          </w:p>
        </w:tc>
        <w:tc>
          <w:tcPr>
            <w:tcW w:w="1529" w:type="pct"/>
            <w:vMerge w:val="restart"/>
            <w:vAlign w:val="center"/>
          </w:tcPr>
          <w:p w14:paraId="3ED16273">
            <w:pPr>
              <w:jc w:val="center"/>
            </w:pPr>
            <w:r>
              <w:rPr>
                <w:rFonts w:hint="eastAsia"/>
              </w:rPr>
              <w:t>章定文、胡文高、张银</w:t>
            </w:r>
          </w:p>
        </w:tc>
      </w:tr>
      <w:tr w14:paraId="72D0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continue"/>
            <w:vAlign w:val="center"/>
          </w:tcPr>
          <w:p w14:paraId="7083027E"/>
        </w:tc>
        <w:tc>
          <w:tcPr>
            <w:tcW w:w="1856" w:type="pct"/>
            <w:vAlign w:val="center"/>
          </w:tcPr>
          <w:p w14:paraId="6D038DD0">
            <w:r>
              <w:t>9.2水工建筑物评估复核</w:t>
            </w:r>
          </w:p>
        </w:tc>
        <w:tc>
          <w:tcPr>
            <w:tcW w:w="1529" w:type="pct"/>
            <w:vMerge w:val="continue"/>
            <w:vAlign w:val="center"/>
          </w:tcPr>
          <w:p w14:paraId="3C646703">
            <w:pPr>
              <w:jc w:val="center"/>
            </w:pPr>
          </w:p>
        </w:tc>
      </w:tr>
      <w:tr w14:paraId="4421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Merge w:val="continue"/>
            <w:vAlign w:val="center"/>
          </w:tcPr>
          <w:p w14:paraId="4D8BA75B"/>
        </w:tc>
        <w:tc>
          <w:tcPr>
            <w:tcW w:w="1856" w:type="pct"/>
            <w:vAlign w:val="center"/>
          </w:tcPr>
          <w:p w14:paraId="01A02368">
            <w:r>
              <w:t>9.3闸阀门评估复核</w:t>
            </w:r>
          </w:p>
        </w:tc>
        <w:tc>
          <w:tcPr>
            <w:tcW w:w="1529" w:type="pct"/>
            <w:vMerge w:val="continue"/>
            <w:vAlign w:val="center"/>
          </w:tcPr>
          <w:p w14:paraId="777AFBFC">
            <w:pPr>
              <w:jc w:val="center"/>
            </w:pPr>
          </w:p>
        </w:tc>
      </w:tr>
      <w:tr w14:paraId="1DB7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Align w:val="center"/>
          </w:tcPr>
          <w:p w14:paraId="6228F28A">
            <w:r>
              <w:t>10 技术状态分类评定</w:t>
            </w:r>
          </w:p>
        </w:tc>
        <w:tc>
          <w:tcPr>
            <w:tcW w:w="1856" w:type="pct"/>
            <w:vAlign w:val="center"/>
          </w:tcPr>
          <w:p w14:paraId="57ED7D49">
            <w:r>
              <w:t>-</w:t>
            </w:r>
          </w:p>
        </w:tc>
        <w:tc>
          <w:tcPr>
            <w:tcW w:w="1529" w:type="pct"/>
            <w:vMerge w:val="continue"/>
            <w:vAlign w:val="center"/>
          </w:tcPr>
          <w:p w14:paraId="4CEC3B9A">
            <w:pPr>
              <w:jc w:val="center"/>
            </w:pPr>
          </w:p>
        </w:tc>
      </w:tr>
      <w:tr w14:paraId="6A37D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4" w:type="pct"/>
            <w:vAlign w:val="center"/>
          </w:tcPr>
          <w:p w14:paraId="1D194C15">
            <w:r>
              <w:t>11 技术档案</w:t>
            </w:r>
          </w:p>
        </w:tc>
        <w:tc>
          <w:tcPr>
            <w:tcW w:w="1856" w:type="pct"/>
            <w:vAlign w:val="center"/>
          </w:tcPr>
          <w:p w14:paraId="6E8892B3">
            <w:r>
              <w:t>-</w:t>
            </w:r>
          </w:p>
        </w:tc>
        <w:tc>
          <w:tcPr>
            <w:tcW w:w="1529" w:type="pct"/>
            <w:vMerge w:val="restart"/>
            <w:vAlign w:val="center"/>
          </w:tcPr>
          <w:p w14:paraId="0870CB67">
            <w:pPr>
              <w:jc w:val="center"/>
            </w:pPr>
            <w:r>
              <w:rPr>
                <w:rFonts w:hint="eastAsia"/>
              </w:rPr>
              <w:t>夏巳旻、戴振华、袁媛</w:t>
            </w:r>
          </w:p>
        </w:tc>
      </w:tr>
      <w:tr w14:paraId="141F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70" w:type="pct"/>
            <w:gridSpan w:val="2"/>
            <w:vAlign w:val="center"/>
          </w:tcPr>
          <w:p w14:paraId="7A583D16">
            <w:r>
              <w:t xml:space="preserve">附录A </w:t>
            </w:r>
            <w:r>
              <w:rPr>
                <w:rFonts w:hint="eastAsia"/>
              </w:rPr>
              <w:t>检测与评估报告编写提纲</w:t>
            </w:r>
          </w:p>
        </w:tc>
        <w:tc>
          <w:tcPr>
            <w:tcW w:w="1529" w:type="pct"/>
            <w:vMerge w:val="continue"/>
            <w:vAlign w:val="center"/>
          </w:tcPr>
          <w:p w14:paraId="262C7F63"/>
        </w:tc>
      </w:tr>
      <w:tr w14:paraId="25C5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70" w:type="pct"/>
            <w:gridSpan w:val="2"/>
            <w:vAlign w:val="center"/>
          </w:tcPr>
          <w:p w14:paraId="20FB9C22">
            <w:r>
              <w:t>附录B 定期测量报告及原始记录</w:t>
            </w:r>
          </w:p>
        </w:tc>
        <w:tc>
          <w:tcPr>
            <w:tcW w:w="1529" w:type="pct"/>
            <w:vMerge w:val="continue"/>
            <w:vAlign w:val="center"/>
          </w:tcPr>
          <w:p w14:paraId="6FA19B0A"/>
        </w:tc>
      </w:tr>
    </w:tbl>
    <w:p w14:paraId="31858EF1"/>
    <w:p w14:paraId="6BC9720A"/>
    <w:p w14:paraId="2A28D6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B675F">
    <w:pPr>
      <w:pStyle w:val="2"/>
    </w:pPr>
  </w:p>
  <w:p w14:paraId="46A977FC">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7296236"/>
      <w:docPartObj>
        <w:docPartGallery w:val="AutoText"/>
      </w:docPartObj>
    </w:sdtPr>
    <w:sdtContent>
      <w:p w14:paraId="39412434">
        <w:pPr>
          <w:pStyle w:val="2"/>
          <w:jc w:val="center"/>
          <w:rPr>
            <w:rFonts w:hint="eastAsia"/>
          </w:rPr>
        </w:pPr>
        <w:r>
          <w:fldChar w:fldCharType="begin"/>
        </w:r>
        <w:r>
          <w:instrText xml:space="preserve">PAGE   \* MERGEFORMAT</w:instrText>
        </w:r>
        <w:r>
          <w:fldChar w:fldCharType="separate"/>
        </w:r>
        <w:r>
          <w:t>2</w:t>
        </w:r>
        <w:r>
          <w:fldChar w:fldCharType="end"/>
        </w:r>
      </w:p>
    </w:sdtContent>
  </w:sdt>
  <w:p w14:paraId="0F78F60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C4A97">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EDA34">
    <w:pPr>
      <w:pStyle w:val="3"/>
      <w:pBdr>
        <w:bottom w:val="single" w:color="auto" w:sz="4" w:space="0"/>
      </w:pBdr>
      <w:jc w:val="left"/>
    </w:pPr>
    <w:r>
      <w:rPr>
        <w:rFonts w:hint="eastAsia"/>
      </w:rPr>
      <w:t>《内河航运船闸工程检测与评估技术规程》编制说明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0YmZjZWMxODQyNTlhODY4ZDM4ODkzYTAxNWRiZjMifQ=="/>
  </w:docVars>
  <w:rsids>
    <w:rsidRoot w:val="00AC23C8"/>
    <w:rsid w:val="000C7F1C"/>
    <w:rsid w:val="000F14D5"/>
    <w:rsid w:val="001038BF"/>
    <w:rsid w:val="00113DBE"/>
    <w:rsid w:val="00123894"/>
    <w:rsid w:val="00126C70"/>
    <w:rsid w:val="00156AB4"/>
    <w:rsid w:val="00174BC5"/>
    <w:rsid w:val="001D114E"/>
    <w:rsid w:val="001F7141"/>
    <w:rsid w:val="00235E77"/>
    <w:rsid w:val="002644BF"/>
    <w:rsid w:val="00270A97"/>
    <w:rsid w:val="00313CE7"/>
    <w:rsid w:val="00582209"/>
    <w:rsid w:val="005C7887"/>
    <w:rsid w:val="006449F8"/>
    <w:rsid w:val="007479FC"/>
    <w:rsid w:val="007621FD"/>
    <w:rsid w:val="007B1916"/>
    <w:rsid w:val="007B1EF8"/>
    <w:rsid w:val="008A72EA"/>
    <w:rsid w:val="008D2E98"/>
    <w:rsid w:val="009212EE"/>
    <w:rsid w:val="009F3EFE"/>
    <w:rsid w:val="00AC23C8"/>
    <w:rsid w:val="00AF7DAB"/>
    <w:rsid w:val="00B019AC"/>
    <w:rsid w:val="00B22F72"/>
    <w:rsid w:val="00C00206"/>
    <w:rsid w:val="00C37E2D"/>
    <w:rsid w:val="00C83D32"/>
    <w:rsid w:val="00CF3203"/>
    <w:rsid w:val="00DD1736"/>
    <w:rsid w:val="00F405D1"/>
    <w:rsid w:val="00F907A5"/>
    <w:rsid w:val="00FD4218"/>
    <w:rsid w:val="01EF572E"/>
    <w:rsid w:val="02427F54"/>
    <w:rsid w:val="02587777"/>
    <w:rsid w:val="05935EB0"/>
    <w:rsid w:val="0B8D0492"/>
    <w:rsid w:val="0BA94BA0"/>
    <w:rsid w:val="0C7358DA"/>
    <w:rsid w:val="0C963376"/>
    <w:rsid w:val="0FF3288D"/>
    <w:rsid w:val="134A57B8"/>
    <w:rsid w:val="198258CA"/>
    <w:rsid w:val="1E676920"/>
    <w:rsid w:val="1FAD0CAB"/>
    <w:rsid w:val="204E1EDD"/>
    <w:rsid w:val="22140B6D"/>
    <w:rsid w:val="222D60D3"/>
    <w:rsid w:val="2C353BF8"/>
    <w:rsid w:val="2C9E20A7"/>
    <w:rsid w:val="2CF63C91"/>
    <w:rsid w:val="307B625B"/>
    <w:rsid w:val="33392867"/>
    <w:rsid w:val="348E2056"/>
    <w:rsid w:val="377B00A0"/>
    <w:rsid w:val="3B2B6A81"/>
    <w:rsid w:val="3CFC45FE"/>
    <w:rsid w:val="3D8A5D30"/>
    <w:rsid w:val="3EC860D4"/>
    <w:rsid w:val="3FF878C8"/>
    <w:rsid w:val="442E5667"/>
    <w:rsid w:val="459E3C43"/>
    <w:rsid w:val="478F373A"/>
    <w:rsid w:val="47C167F2"/>
    <w:rsid w:val="4B06657C"/>
    <w:rsid w:val="4FEE65F2"/>
    <w:rsid w:val="5E192A8C"/>
    <w:rsid w:val="5EFD23AE"/>
    <w:rsid w:val="60E47381"/>
    <w:rsid w:val="66416468"/>
    <w:rsid w:val="669435F8"/>
    <w:rsid w:val="68CC18AB"/>
    <w:rsid w:val="6AB66ECA"/>
    <w:rsid w:val="6D5533B5"/>
    <w:rsid w:val="6DFB21AE"/>
    <w:rsid w:val="6E1A5470"/>
    <w:rsid w:val="751A116C"/>
    <w:rsid w:val="7976378E"/>
    <w:rsid w:val="7B237615"/>
    <w:rsid w:val="7BBD4F47"/>
    <w:rsid w:val="7D553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lang w:val="zh-CN"/>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4">
    <w:name w:val="toc 1"/>
    <w:basedOn w:val="1"/>
    <w:next w:val="1"/>
    <w:qFormat/>
    <w:uiPriority w:val="0"/>
  </w:style>
  <w:style w:type="paragraph" w:customStyle="1" w:styleId="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8">
    <w:name w:val="My"/>
    <w:basedOn w:val="1"/>
    <w:qFormat/>
    <w:uiPriority w:val="0"/>
    <w:pPr>
      <w:spacing w:line="360" w:lineRule="auto"/>
      <w:ind w:firstLine="200" w:firstLineChars="200"/>
    </w:pPr>
    <w:rPr>
      <w:sz w:val="24"/>
    </w:rPr>
  </w:style>
  <w:style w:type="character" w:customStyle="1" w:styleId="9">
    <w:name w:val="页脚 字符"/>
    <w:basedOn w:val="6"/>
    <w:link w:val="2"/>
    <w:uiPriority w:val="99"/>
    <w:rPr>
      <w:rFonts w:ascii="Times New Roman" w:hAnsi="Times New Roman" w:eastAsia="宋体" w:cs="Times New Roman"/>
      <w:kern w:val="2"/>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D4E16-FC54-473B-8A0F-1300A6234BE2}">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8140</Words>
  <Characters>8905</Characters>
  <Lines>71</Lines>
  <Paragraphs>20</Paragraphs>
  <TotalTime>0</TotalTime>
  <ScaleCrop>false</ScaleCrop>
  <LinksUpToDate>false</LinksUpToDate>
  <CharactersWithSpaces>9007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2024-08-16T09:07:00Z</dcterms:created>
  <dc:creator>Rambo</dc:creator>
  <cp:lastModifiedBy>W～～</cp:lastModifiedBy>
  <dcterms:modified xsi:type="dcterms:W3CDTF">2024-08-24T07:58:27Z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2FE44C6E5AE34CD9ABA1F245CB39CCD3_12</vt:lpwstr>
  </property>
</Properties>
</file>